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25369" w14:textId="1AB59D10" w:rsidR="00075971" w:rsidRDefault="00075971" w:rsidP="00075971">
      <w:pPr>
        <w:jc w:val="both"/>
      </w:pPr>
    </w:p>
    <w:p w14:paraId="44572416" w14:textId="5E103F73" w:rsidR="00AD5E0B" w:rsidRDefault="00AD5E0B" w:rsidP="00075971">
      <w:pPr>
        <w:jc w:val="both"/>
      </w:pPr>
    </w:p>
    <w:p w14:paraId="5B77A22E" w14:textId="02F00F7E" w:rsidR="00075971" w:rsidRPr="00367120" w:rsidRDefault="00C30F3E" w:rsidP="00075971">
      <w:pPr>
        <w:ind w:right="120"/>
        <w:jc w:val="right"/>
        <w:rPr>
          <w:b/>
        </w:rPr>
      </w:pPr>
      <w:r>
        <w:rPr>
          <w:b/>
          <w:bCs/>
        </w:rPr>
        <w:t>Anexa 8</w:t>
      </w:r>
      <w:r w:rsidR="00075971" w:rsidRPr="00367120">
        <w:rPr>
          <w:b/>
          <w:bCs/>
        </w:rPr>
        <w:t xml:space="preserve">  </w:t>
      </w:r>
      <w:r w:rsidR="00075971" w:rsidRPr="00367120">
        <w:rPr>
          <w:b/>
        </w:rPr>
        <w:t>–</w:t>
      </w:r>
      <w:r w:rsidR="00075971" w:rsidRPr="00367120">
        <w:rPr>
          <w:b/>
          <w:bCs/>
        </w:rPr>
        <w:t xml:space="preserve"> PO 02</w:t>
      </w:r>
      <w:r w:rsidR="00075971" w:rsidRPr="0067775F">
        <w:rPr>
          <w:b/>
          <w:bCs/>
        </w:rPr>
        <w:t xml:space="preserve"> F08</w:t>
      </w:r>
    </w:p>
    <w:p w14:paraId="1795B540" w14:textId="77777777" w:rsidR="00075971" w:rsidRPr="00367120" w:rsidRDefault="00075971" w:rsidP="00075971">
      <w:pPr>
        <w:ind w:right="120"/>
        <w:rPr>
          <w:b/>
        </w:rPr>
      </w:pPr>
    </w:p>
    <w:p w14:paraId="6557195C" w14:textId="77777777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 xml:space="preserve">Universitatea </w:t>
      </w:r>
      <w:r w:rsidR="00EE1A1A">
        <w:rPr>
          <w:b/>
        </w:rPr>
        <w:t>Ș</w:t>
      </w:r>
      <w:r w:rsidRPr="00367120">
        <w:rPr>
          <w:b/>
        </w:rPr>
        <w:t xml:space="preserve">TEFAN CEL MARE din Suceava  </w:t>
      </w:r>
      <w:r w:rsidRPr="00367120">
        <w:rPr>
          <w:b/>
        </w:rPr>
        <w:tab/>
        <w:t xml:space="preserve">                                                                        </w:t>
      </w:r>
    </w:p>
    <w:p w14:paraId="5974D8B4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72AA5C03" w14:textId="77777777" w:rsidR="00075971" w:rsidRPr="00367120" w:rsidRDefault="00075971" w:rsidP="00075971">
      <w:pPr>
        <w:ind w:left="3540" w:hanging="3180"/>
        <w:jc w:val="both"/>
      </w:pP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</w:p>
    <w:p w14:paraId="0C98CB24" w14:textId="77777777" w:rsidR="00075971" w:rsidRPr="00367120" w:rsidRDefault="00075971" w:rsidP="00075971">
      <w:pPr>
        <w:jc w:val="center"/>
        <w:rPr>
          <w:b/>
          <w:bCs/>
          <w:sz w:val="28"/>
          <w:szCs w:val="28"/>
        </w:rPr>
      </w:pPr>
    </w:p>
    <w:p w14:paraId="5CB5D4DB" w14:textId="77777777" w:rsidR="00075971" w:rsidRPr="00367120" w:rsidRDefault="00075971" w:rsidP="00075971">
      <w:pPr>
        <w:jc w:val="center"/>
        <w:rPr>
          <w:b/>
          <w:bCs/>
          <w:sz w:val="28"/>
          <w:szCs w:val="28"/>
        </w:rPr>
      </w:pPr>
      <w:r w:rsidRPr="00367120">
        <w:rPr>
          <w:b/>
          <w:bCs/>
          <w:sz w:val="28"/>
          <w:szCs w:val="28"/>
        </w:rPr>
        <w:t xml:space="preserve">RAPORTUL COMISIEI DE EVALUARE INTERNĂ </w:t>
      </w:r>
    </w:p>
    <w:p w14:paraId="46B3B8EA" w14:textId="77777777" w:rsidR="00075971" w:rsidRPr="00367120" w:rsidRDefault="00075971" w:rsidP="00075971">
      <w:pPr>
        <w:jc w:val="center"/>
        <w:rPr>
          <w:b/>
          <w:bCs/>
          <w:sz w:val="28"/>
          <w:szCs w:val="28"/>
        </w:rPr>
      </w:pPr>
      <w:r w:rsidRPr="00367120">
        <w:rPr>
          <w:b/>
          <w:bCs/>
          <w:sz w:val="28"/>
          <w:szCs w:val="28"/>
        </w:rPr>
        <w:t>A DEPARTAMENTULUI PENTRU PREGĂTIREA PERSONALULUI DIDACTIC</w:t>
      </w:r>
    </w:p>
    <w:p w14:paraId="77C9BD4D" w14:textId="77777777" w:rsidR="00075971" w:rsidRPr="00367120" w:rsidRDefault="00075971" w:rsidP="00075971">
      <w:pPr>
        <w:jc w:val="both"/>
      </w:pPr>
    </w:p>
    <w:p w14:paraId="11701A14" w14:textId="14A16BB1" w:rsidR="00075971" w:rsidRPr="00367120" w:rsidRDefault="00AD5E0B" w:rsidP="00075971">
      <w:pPr>
        <w:jc w:val="both"/>
      </w:pPr>
      <w:r w:rsidRPr="0067775F">
        <w:t>Comisia de</w:t>
      </w:r>
      <w:r w:rsidR="00075971" w:rsidRPr="0067775F">
        <w:t xml:space="preserve"> evaluatori din facultate formată </w:t>
      </w:r>
      <w:r w:rsidR="00075971" w:rsidRPr="00367120">
        <w:t>din:</w:t>
      </w:r>
    </w:p>
    <w:p w14:paraId="14A52259" w14:textId="77777777" w:rsidR="00075971" w:rsidRPr="00367120" w:rsidRDefault="00075971" w:rsidP="00075971">
      <w:pPr>
        <w:jc w:val="both"/>
        <w:rPr>
          <w:b/>
        </w:rPr>
      </w:pPr>
    </w:p>
    <w:p w14:paraId="1E2362D6" w14:textId="77777777" w:rsidR="00075971" w:rsidRPr="00367120" w:rsidRDefault="00075971" w:rsidP="00075971">
      <w:pPr>
        <w:jc w:val="both"/>
      </w:pPr>
      <w:r w:rsidRPr="00367120">
        <w:rPr>
          <w:b/>
        </w:rPr>
        <w:t xml:space="preserve">Evaluator 1: </w:t>
      </w:r>
    </w:p>
    <w:p w14:paraId="4E936F8D" w14:textId="77777777" w:rsidR="00075971" w:rsidRPr="00367120" w:rsidRDefault="00075971" w:rsidP="00075971">
      <w:pPr>
        <w:jc w:val="both"/>
      </w:pPr>
      <w:r w:rsidRPr="00367120">
        <w:rPr>
          <w:b/>
        </w:rPr>
        <w:t>Evaluator 2:</w:t>
      </w:r>
      <w:r w:rsidRPr="00367120">
        <w:t xml:space="preserve"> </w:t>
      </w:r>
    </w:p>
    <w:p w14:paraId="092B5CD4" w14:textId="77777777" w:rsidR="00075971" w:rsidRPr="00367120" w:rsidRDefault="00075971" w:rsidP="00075971">
      <w:pPr>
        <w:jc w:val="both"/>
      </w:pPr>
      <w:r w:rsidRPr="00367120">
        <w:rPr>
          <w:b/>
        </w:rPr>
        <w:t xml:space="preserve">Evaluator 3: </w:t>
      </w:r>
    </w:p>
    <w:p w14:paraId="5F94D401" w14:textId="45E5CA6F" w:rsidR="00075971" w:rsidRPr="00367120" w:rsidRDefault="00AD5E0B" w:rsidP="00075971">
      <w:r>
        <w:t>numită prin decizia</w:t>
      </w:r>
      <w:r w:rsidR="00075971" w:rsidRPr="00367120">
        <w:t xml:space="preserve"> nr. ______________din data de ____________a întocmit Raportul privind evaluarea internă a Departamentului de Specialitate cu Profil Psihopedagogic  </w:t>
      </w:r>
      <w:r w:rsidR="00075971" w:rsidRPr="00367120">
        <w:rPr>
          <w:bCs/>
        </w:rPr>
        <w:t>din</w:t>
      </w:r>
      <w:r w:rsidR="00075971" w:rsidRPr="00367120">
        <w:rPr>
          <w:b/>
          <w:bCs/>
        </w:rPr>
        <w:t xml:space="preserve"> </w:t>
      </w:r>
      <w:r w:rsidR="00075971" w:rsidRPr="00367120">
        <w:t xml:space="preserve">Universitatea </w:t>
      </w:r>
      <w:r w:rsidR="00EE1A1A">
        <w:t>Ș</w:t>
      </w:r>
      <w:r w:rsidR="00075971" w:rsidRPr="00367120">
        <w:t>tefan cel Mare din Suceava,  cu următoarea structură:</w:t>
      </w:r>
    </w:p>
    <w:p w14:paraId="6B9623E5" w14:textId="77777777" w:rsidR="00075971" w:rsidRPr="00367120" w:rsidRDefault="00075971" w:rsidP="00075971">
      <w:pPr>
        <w:jc w:val="both"/>
      </w:pPr>
    </w:p>
    <w:tbl>
      <w:tblPr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6"/>
        <w:gridCol w:w="38"/>
        <w:gridCol w:w="3636"/>
      </w:tblGrid>
      <w:tr w:rsidR="00075971" w:rsidRPr="00367120" w14:paraId="6CDD3586" w14:textId="77777777" w:rsidTr="00F97D20">
        <w:tc>
          <w:tcPr>
            <w:tcW w:w="15860" w:type="dxa"/>
            <w:gridSpan w:val="3"/>
          </w:tcPr>
          <w:p w14:paraId="79EBF9DB" w14:textId="77777777" w:rsidR="00075971" w:rsidRPr="00367120" w:rsidRDefault="00075971" w:rsidP="00F97D20">
            <w:pPr>
              <w:jc w:val="center"/>
              <w:rPr>
                <w:b/>
                <w:bCs/>
                <w:iCs/>
              </w:rPr>
            </w:pPr>
            <w:r w:rsidRPr="00367120">
              <w:rPr>
                <w:b/>
                <w:bCs/>
                <w:iCs/>
              </w:rPr>
              <w:t>I. CERIN</w:t>
            </w:r>
            <w:r w:rsidR="00EE1A1A">
              <w:rPr>
                <w:b/>
                <w:bCs/>
                <w:iCs/>
              </w:rPr>
              <w:t>Ț</w:t>
            </w:r>
            <w:r w:rsidRPr="00367120">
              <w:rPr>
                <w:b/>
                <w:bCs/>
                <w:iCs/>
              </w:rPr>
              <w:t>E NORMATIVE PRIVIND EVALUAREA DPPD</w:t>
            </w:r>
          </w:p>
        </w:tc>
      </w:tr>
      <w:tr w:rsidR="00075971" w:rsidRPr="00367120" w14:paraId="0767A3FF" w14:textId="77777777" w:rsidTr="00F97D20">
        <w:tc>
          <w:tcPr>
            <w:tcW w:w="12186" w:type="dxa"/>
            <w:shd w:val="clear" w:color="auto" w:fill="D9D9D9"/>
            <w:vAlign w:val="center"/>
          </w:tcPr>
          <w:p w14:paraId="7D5B5654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CERIN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E NORMATIVE OBLIGATORII</w:t>
            </w:r>
          </w:p>
        </w:tc>
        <w:tc>
          <w:tcPr>
            <w:tcW w:w="3674" w:type="dxa"/>
            <w:gridSpan w:val="2"/>
            <w:vAlign w:val="center"/>
          </w:tcPr>
          <w:p w14:paraId="340BD013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443A309C" w14:textId="77777777" w:rsidR="00075971" w:rsidRPr="00367120" w:rsidRDefault="00075971" w:rsidP="00F97D20">
            <w:pPr>
              <w:jc w:val="center"/>
              <w:rPr>
                <w:b/>
                <w:sz w:val="18"/>
                <w:szCs w:val="18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0773A686" w14:textId="77777777" w:rsidTr="00F97D20">
        <w:tc>
          <w:tcPr>
            <w:tcW w:w="12186" w:type="dxa"/>
          </w:tcPr>
          <w:p w14:paraId="2E0B208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DPPD face dovada existen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ei statutului juridic propriu stabilit prin actul de înfiin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 (Ordin M.Ed.C.)</w:t>
            </w:r>
          </w:p>
        </w:tc>
        <w:tc>
          <w:tcPr>
            <w:tcW w:w="3674" w:type="dxa"/>
            <w:gridSpan w:val="2"/>
          </w:tcPr>
          <w:p w14:paraId="7BEB283D" w14:textId="77777777" w:rsidR="00075971" w:rsidRPr="00367120" w:rsidRDefault="00075971" w:rsidP="00F97D20">
            <w:pPr>
              <w:jc w:val="center"/>
            </w:pPr>
          </w:p>
        </w:tc>
      </w:tr>
      <w:tr w:rsidR="00075971" w:rsidRPr="00367120" w14:paraId="33C53B7E" w14:textId="77777777" w:rsidTr="00F97D20">
        <w:tc>
          <w:tcPr>
            <w:tcW w:w="12186" w:type="dxa"/>
          </w:tcPr>
          <w:p w14:paraId="7AC8079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DPPD are o misiune didactică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bine precizate;</w:t>
            </w:r>
          </w:p>
        </w:tc>
        <w:tc>
          <w:tcPr>
            <w:tcW w:w="3674" w:type="dxa"/>
            <w:gridSpan w:val="2"/>
          </w:tcPr>
          <w:p w14:paraId="66D9274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28F2430" w14:textId="77777777" w:rsidTr="00F97D20">
        <w:tc>
          <w:tcPr>
            <w:tcW w:w="12186" w:type="dxa"/>
          </w:tcPr>
          <w:p w14:paraId="3088230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3. Misiunea DPPD are obiective clare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realizabile, cu respectarea normelor legale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constă în oferirea de programe de formare pentru cariera didactică.</w:t>
            </w:r>
          </w:p>
        </w:tc>
        <w:tc>
          <w:tcPr>
            <w:tcW w:w="3674" w:type="dxa"/>
            <w:gridSpan w:val="2"/>
          </w:tcPr>
          <w:p w14:paraId="71B547C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E144ECE" w14:textId="77777777" w:rsidTr="00F97D20">
        <w:tc>
          <w:tcPr>
            <w:tcW w:w="12186" w:type="dxa"/>
          </w:tcPr>
          <w:p w14:paraId="586C143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 În vederea îndeplinirii misiunii sale, DPPD asigură pregătirea profesională (psihopedagogică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metodică)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cooperează cu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de profil în vederea realizării pregătirii de specialitate a personalului didactic.</w:t>
            </w:r>
          </w:p>
        </w:tc>
        <w:tc>
          <w:tcPr>
            <w:tcW w:w="3674" w:type="dxa"/>
            <w:gridSpan w:val="2"/>
          </w:tcPr>
          <w:p w14:paraId="454F4B9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4A94AEF" w14:textId="77777777" w:rsidTr="00F97D20">
        <w:tc>
          <w:tcPr>
            <w:tcW w:w="12186" w:type="dxa"/>
          </w:tcPr>
          <w:p w14:paraId="3C1FF1F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DPPD îndepline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te următoarele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specifice:</w:t>
            </w:r>
          </w:p>
          <w:p w14:paraId="3092E60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formarea profesională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ială pentru cariera didactică;</w:t>
            </w:r>
          </w:p>
          <w:p w14:paraId="0E905F9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formarea continuă, psihopedagogică, metodică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specialitate continuă pentru personalul didactic din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preuniversitar;</w:t>
            </w:r>
          </w:p>
          <w:p w14:paraId="53AFAF5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dezvltarea unor programe de masterat în domeniul didacticilor speciale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formării personalului didactic;</w:t>
            </w:r>
          </w:p>
          <w:p w14:paraId="15E5AE9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organizarea unor programe de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a adul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la solicitarea persoanelor /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iilor interesate;</w:t>
            </w:r>
          </w:p>
          <w:p w14:paraId="27687E0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conversie profesională de nivel 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postuniversitar;</w:t>
            </w:r>
          </w:p>
          <w:p w14:paraId="6EB68BF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pregătirea, organizarea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examenelor de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inere a definitivatului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gradelor didactice pentru specializările care i-au fost arondate de MECI;</w:t>
            </w:r>
          </w:p>
          <w:p w14:paraId="6C250F0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consiliere psihopedagogică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metodică privind dezvoltarea profesională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evolu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 în cariera didactică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coordonarea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de mentorat din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coli;</w:t>
            </w:r>
          </w:p>
          <w:p w14:paraId="64BF2AB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dezvoltarea unor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ifică fundamentală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aplicativă în domeniu;</w:t>
            </w:r>
          </w:p>
          <w:p w14:paraId="14D72D0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- sus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inerea dezvoltării profesional-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a personalului didactic din universitate.</w:t>
            </w:r>
          </w:p>
        </w:tc>
        <w:tc>
          <w:tcPr>
            <w:tcW w:w="3674" w:type="dxa"/>
            <w:gridSpan w:val="2"/>
          </w:tcPr>
          <w:p w14:paraId="1DE6A73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BD2D546" w14:textId="77777777" w:rsidTr="00F97D20">
        <w:tc>
          <w:tcPr>
            <w:tcW w:w="12186" w:type="dxa"/>
          </w:tcPr>
          <w:p w14:paraId="5DAC92E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6. DPPD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oară activitatea în baza unui Regulament propriu, elaborat în baza prevederilor prezentei </w:t>
            </w:r>
            <w:r w:rsidRPr="00367120">
              <w:rPr>
                <w:i/>
                <w:sz w:val="22"/>
                <w:szCs w:val="22"/>
              </w:rPr>
              <w:t>Metodologii</w:t>
            </w:r>
            <w:r w:rsidRPr="00367120">
              <w:rPr>
                <w:sz w:val="22"/>
                <w:szCs w:val="22"/>
              </w:rPr>
              <w:t xml:space="preserve">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aprobat de Senatul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superior.</w:t>
            </w:r>
          </w:p>
        </w:tc>
        <w:tc>
          <w:tcPr>
            <w:tcW w:w="3674" w:type="dxa"/>
            <w:gridSpan w:val="2"/>
          </w:tcPr>
          <w:p w14:paraId="408BBCB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7315F1E" w14:textId="77777777" w:rsidTr="00F97D20">
        <w:tc>
          <w:tcPr>
            <w:tcW w:w="15860" w:type="dxa"/>
            <w:gridSpan w:val="3"/>
          </w:tcPr>
          <w:p w14:paraId="724CCBBF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  <w:bCs/>
                <w:iCs/>
              </w:rPr>
              <w:t>II. PERSONALUL DIDACTIC</w:t>
            </w:r>
          </w:p>
        </w:tc>
      </w:tr>
      <w:tr w:rsidR="00075971" w:rsidRPr="00367120" w14:paraId="580FCD0A" w14:textId="77777777" w:rsidTr="00F97D20">
        <w:tc>
          <w:tcPr>
            <w:tcW w:w="12186" w:type="dxa"/>
            <w:shd w:val="clear" w:color="auto" w:fill="D9D9D9"/>
            <w:vAlign w:val="center"/>
          </w:tcPr>
          <w:p w14:paraId="0C1AB7C6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</w:rPr>
              <w:t>CERIN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E NORMATIVE OBLIGATORII</w:t>
            </w:r>
          </w:p>
        </w:tc>
        <w:tc>
          <w:tcPr>
            <w:tcW w:w="3674" w:type="dxa"/>
            <w:gridSpan w:val="2"/>
            <w:vAlign w:val="center"/>
          </w:tcPr>
          <w:p w14:paraId="7808F168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A2211C1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2E9113D8" w14:textId="77777777" w:rsidTr="00F97D20">
        <w:tc>
          <w:tcPr>
            <w:tcW w:w="12186" w:type="dxa"/>
          </w:tcPr>
          <w:p w14:paraId="7139CDC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Personalul didactic trebuie să îndeplinească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legale pentru ocuparea posturilor didactice.</w:t>
            </w:r>
          </w:p>
        </w:tc>
        <w:tc>
          <w:tcPr>
            <w:tcW w:w="3674" w:type="dxa"/>
            <w:gridSpan w:val="2"/>
          </w:tcPr>
          <w:p w14:paraId="519725C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FD48420" w14:textId="77777777" w:rsidTr="00F97D20">
        <w:tc>
          <w:tcPr>
            <w:tcW w:w="12186" w:type="dxa"/>
          </w:tcPr>
          <w:p w14:paraId="0EB3031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Personalul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comunitatea academică a DPPD sunt formate din speciali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ti în: pedagogie, psihopedagogie specială, psihologie, sociologie, didactici speciale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alte specializări determinate prin raportare la misiunea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ională.</w:t>
            </w:r>
          </w:p>
        </w:tc>
        <w:tc>
          <w:tcPr>
            <w:tcW w:w="3674" w:type="dxa"/>
            <w:gridSpan w:val="2"/>
          </w:tcPr>
          <w:p w14:paraId="04893C2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C476D6A" w14:textId="77777777" w:rsidTr="00F97D20">
        <w:tc>
          <w:tcPr>
            <w:tcW w:w="12186" w:type="dxa"/>
          </w:tcPr>
          <w:p w14:paraId="36DD73B3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Personalul didactic titularizat în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superior unde are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bază este luat în considerare la evaluare pentru o singură normă didactică constituită conform legii.</w:t>
            </w:r>
          </w:p>
        </w:tc>
        <w:tc>
          <w:tcPr>
            <w:tcW w:w="3674" w:type="dxa"/>
            <w:gridSpan w:val="2"/>
          </w:tcPr>
          <w:p w14:paraId="68AC7D1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1C4B353" w14:textId="77777777" w:rsidTr="00F97D20">
        <w:tc>
          <w:tcPr>
            <w:tcW w:w="12186" w:type="dxa"/>
          </w:tcPr>
          <w:p w14:paraId="1B3D4CB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Pentru asigurarea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didactice, personalul didactic titularizat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superior nu poate acoperi, într-un an universitar mai mult de trei norme didactice, indiferent de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care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oară activitatea.</w:t>
            </w:r>
          </w:p>
        </w:tc>
        <w:tc>
          <w:tcPr>
            <w:tcW w:w="3674" w:type="dxa"/>
            <w:gridSpan w:val="2"/>
          </w:tcPr>
          <w:p w14:paraId="19B577E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55F4629" w14:textId="77777777" w:rsidTr="00F97D20">
        <w:tc>
          <w:tcPr>
            <w:tcW w:w="12186" w:type="dxa"/>
          </w:tcPr>
          <w:p w14:paraId="5220670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Personalul didactic titularizat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superior conform legii, pensionat la limită de vârstă sau din alte motive, pierde calitatea de titular pe post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este considerat cadru didactic asociat, neputând să acopere mai mult de o singură normă didactică în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respectivă 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ământ.</w:t>
            </w:r>
          </w:p>
        </w:tc>
        <w:tc>
          <w:tcPr>
            <w:tcW w:w="3674" w:type="dxa"/>
            <w:gridSpan w:val="2"/>
          </w:tcPr>
          <w:p w14:paraId="401D0BE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0D64EA5" w14:textId="77777777" w:rsidTr="00F97D20">
        <w:tc>
          <w:tcPr>
            <w:tcW w:w="12186" w:type="dxa"/>
          </w:tcPr>
          <w:p w14:paraId="23135C2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DPPD trebuie să aibă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70% din totalul posturilor din statul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ii, constituite conform normativelor legale, acoperite cu cadre didactice titularizate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superior conform normelor legale, iar dintre acestea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 25% să fie profesori universitari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iari universitari, dar nu mai mult de 50%. Numărul de cadre didactice cu normă întreagă trebuie să fie mai mare de 40% din numărul total de posturi didactice constituite conform legii.</w:t>
            </w:r>
          </w:p>
        </w:tc>
        <w:tc>
          <w:tcPr>
            <w:tcW w:w="3674" w:type="dxa"/>
            <w:gridSpan w:val="2"/>
          </w:tcPr>
          <w:p w14:paraId="38C3F68D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DB1ECBB" w14:textId="77777777" w:rsidTr="00F97D20">
        <w:tc>
          <w:tcPr>
            <w:tcW w:w="12186" w:type="dxa"/>
          </w:tcPr>
          <w:p w14:paraId="4893FE7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7. Numărul de cadre didactice titularizate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superior conform normelor legale, luat în considerare pentru evaluarea DPPD, este cel rezultat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inându-se seama de posturile întregi din statele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frac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iunile de posturi pe care le acoperă acestea.</w:t>
            </w:r>
          </w:p>
        </w:tc>
        <w:tc>
          <w:tcPr>
            <w:tcW w:w="3674" w:type="dxa"/>
            <w:gridSpan w:val="2"/>
          </w:tcPr>
          <w:p w14:paraId="7095CBA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870CF3A" w14:textId="77777777" w:rsidTr="00F97D20">
        <w:tc>
          <w:tcPr>
            <w:tcW w:w="12186" w:type="dxa"/>
          </w:tcPr>
          <w:p w14:paraId="6DD3848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8. Personalul didactic asociat care nu este titularizat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superior poate ocupa temporar un post vacant din statul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al 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supuse evaluării numai dacă satisface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legale pentru ocuparea postului respectiv.</w:t>
            </w:r>
          </w:p>
        </w:tc>
        <w:tc>
          <w:tcPr>
            <w:tcW w:w="3674" w:type="dxa"/>
            <w:gridSpan w:val="2"/>
          </w:tcPr>
          <w:p w14:paraId="6690B4B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B678E63" w14:textId="77777777" w:rsidTr="00F97D20">
        <w:tc>
          <w:tcPr>
            <w:tcW w:w="12186" w:type="dxa"/>
          </w:tcPr>
          <w:p w14:paraId="7ACAD79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9. Titularii de disciplină trebuie să aibă titlul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 de doctor sau să fie doctoranzi în domeniul disciplinelor din postul ocupat; celelalte cadre didactice trebuie să aibă pregătirea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în domeniul disciplinei predate.</w:t>
            </w:r>
          </w:p>
        </w:tc>
        <w:tc>
          <w:tcPr>
            <w:tcW w:w="3674" w:type="dxa"/>
            <w:gridSpan w:val="2"/>
          </w:tcPr>
          <w:p w14:paraId="52BE58F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032D6E6" w14:textId="77777777" w:rsidTr="00F97D20">
        <w:tc>
          <w:tcPr>
            <w:tcW w:w="12186" w:type="dxa"/>
          </w:tcPr>
          <w:p w14:paraId="7ECE4E9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10. Titularii disciplinelor psihopedagogice au specialitatea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titlul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 de doctor în Pedagogie/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iei, respectiv în Psihologie.</w:t>
            </w:r>
          </w:p>
        </w:tc>
        <w:tc>
          <w:tcPr>
            <w:tcW w:w="3674" w:type="dxa"/>
            <w:gridSpan w:val="2"/>
          </w:tcPr>
          <w:p w14:paraId="4BA9126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7A2C0FA" w14:textId="77777777" w:rsidTr="00F97D20">
        <w:tc>
          <w:tcPr>
            <w:tcW w:w="12186" w:type="dxa"/>
          </w:tcPr>
          <w:p w14:paraId="296B103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11. Titularii disciplinelor Didactica Specialită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Didactica ariei curriculare au una dintre specialită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din domeniul de pregătire al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sunt doctori sau doctoranzi în specialitate sau în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sau,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in, au un master în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iei.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ile aplicative pot fi acoperite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personal didactic asociat, care are gradul didactic I în specializarea / specializările respective.</w:t>
            </w:r>
          </w:p>
        </w:tc>
        <w:tc>
          <w:tcPr>
            <w:tcW w:w="3674" w:type="dxa"/>
            <w:gridSpan w:val="2"/>
          </w:tcPr>
          <w:p w14:paraId="0B5A05F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CD2417C" w14:textId="77777777" w:rsidTr="00F97D20">
        <w:tc>
          <w:tcPr>
            <w:tcW w:w="12186" w:type="dxa"/>
          </w:tcPr>
          <w:p w14:paraId="59D1E2C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12. Cadrul didactic asociat are obliga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a face cunoscut, prin declara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scrisă, conducătorului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la care are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 de bază, precum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celui la care este asociat, numărul orelor didactice prestate prin asociere.</w:t>
            </w:r>
          </w:p>
        </w:tc>
        <w:tc>
          <w:tcPr>
            <w:tcW w:w="3674" w:type="dxa"/>
            <w:gridSpan w:val="2"/>
          </w:tcPr>
          <w:p w14:paraId="63F6C43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0778ACB" w14:textId="77777777" w:rsidTr="00F97D20">
        <w:tc>
          <w:tcPr>
            <w:tcW w:w="12186" w:type="dxa"/>
          </w:tcPr>
          <w:p w14:paraId="7926DAC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13. Cadrele didactice cu gradul de profesor universitar, speciali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 de înaltă clasă într-un anumit domeniu, care au depă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it vârsta de pensionare, nu trebuie să reprezinte mai mult de 20% din numărul total de posturi din statul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ii.</w:t>
            </w:r>
          </w:p>
        </w:tc>
        <w:tc>
          <w:tcPr>
            <w:tcW w:w="3674" w:type="dxa"/>
            <w:gridSpan w:val="2"/>
          </w:tcPr>
          <w:p w14:paraId="62A509D8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0338A62" w14:textId="77777777" w:rsidTr="00F97D20">
        <w:tc>
          <w:tcPr>
            <w:tcW w:w="12186" w:type="dxa"/>
          </w:tcPr>
          <w:p w14:paraId="35147A1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14. Directorul DPPD este cadru didactic titularizat ca profesor sau conferen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iar 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are norma de bază în universitate.</w:t>
            </w:r>
          </w:p>
        </w:tc>
        <w:tc>
          <w:tcPr>
            <w:tcW w:w="3674" w:type="dxa"/>
            <w:gridSpan w:val="2"/>
          </w:tcPr>
          <w:p w14:paraId="6D9CB75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5386672" w14:textId="77777777" w:rsidTr="00F97D20">
        <w:tc>
          <w:tcPr>
            <w:tcW w:w="15860" w:type="dxa"/>
            <w:gridSpan w:val="3"/>
          </w:tcPr>
          <w:p w14:paraId="4450A78B" w14:textId="77777777" w:rsidR="00075971" w:rsidRPr="00367120" w:rsidRDefault="00075971" w:rsidP="00F97D20">
            <w:pPr>
              <w:ind w:left="240" w:hanging="240"/>
              <w:jc w:val="center"/>
            </w:pPr>
            <w:r w:rsidRPr="00367120">
              <w:rPr>
                <w:b/>
                <w:bCs/>
                <w:iCs/>
              </w:rPr>
              <w:t>III.  CON</w:t>
            </w:r>
            <w:r w:rsidR="00EE1A1A">
              <w:rPr>
                <w:b/>
                <w:bCs/>
                <w:iCs/>
              </w:rPr>
              <w:t>Ț</w:t>
            </w:r>
            <w:r w:rsidRPr="00367120">
              <w:rPr>
                <w:b/>
                <w:bCs/>
                <w:iCs/>
              </w:rPr>
              <w:t>INUTUL PROCESULUI DE ÎNVĂ</w:t>
            </w:r>
            <w:r w:rsidR="00EE1A1A">
              <w:rPr>
                <w:b/>
                <w:bCs/>
                <w:iCs/>
              </w:rPr>
              <w:t>Ț</w:t>
            </w:r>
            <w:r w:rsidRPr="00367120">
              <w:rPr>
                <w:b/>
                <w:bCs/>
                <w:iCs/>
              </w:rPr>
              <w:t>ĂMÂNT</w:t>
            </w:r>
          </w:p>
        </w:tc>
      </w:tr>
      <w:tr w:rsidR="00075971" w:rsidRPr="00367120" w14:paraId="5CFA117B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3FBF1348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</w:rPr>
              <w:t>CERIN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2053924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411EFDC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BD84101" w14:textId="77777777" w:rsidTr="00F97D20">
        <w:tc>
          <w:tcPr>
            <w:tcW w:w="12224" w:type="dxa"/>
            <w:gridSpan w:val="2"/>
          </w:tcPr>
          <w:p w14:paraId="007D8E4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continuă furnizată de DPPD se realizează în conformitate cu planuri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programe distincte.</w:t>
            </w:r>
          </w:p>
        </w:tc>
        <w:tc>
          <w:tcPr>
            <w:tcW w:w="3636" w:type="dxa"/>
          </w:tcPr>
          <w:p w14:paraId="6BC6FCA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358863C" w14:textId="77777777" w:rsidTr="00F97D20">
        <w:tc>
          <w:tcPr>
            <w:tcW w:w="12224" w:type="dxa"/>
            <w:gridSpan w:val="2"/>
          </w:tcPr>
          <w:p w14:paraId="4242A5B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2. Pregătirea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pentru cariera didactică, potrivit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în vigoare, se realizează în regimul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didactice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/ facultative,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pentru formarea psihopedagogică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ială, stabilit la nivel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 fiind integrat, ca un mod unitar, în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al specializării /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respective.</w:t>
            </w:r>
          </w:p>
        </w:tc>
        <w:tc>
          <w:tcPr>
            <w:tcW w:w="3636" w:type="dxa"/>
          </w:tcPr>
          <w:p w14:paraId="11DD56D3" w14:textId="77777777" w:rsidR="00075971" w:rsidRPr="00367120" w:rsidRDefault="00075971" w:rsidP="00F97D20">
            <w:pPr>
              <w:jc w:val="both"/>
            </w:pPr>
            <w:r w:rsidRPr="00367120">
              <w:tab/>
            </w:r>
          </w:p>
        </w:tc>
      </w:tr>
      <w:tr w:rsidR="00075971" w:rsidRPr="00367120" w14:paraId="6B613938" w14:textId="77777777" w:rsidTr="00F97D20">
        <w:tc>
          <w:tcPr>
            <w:tcW w:w="12224" w:type="dxa"/>
            <w:gridSpan w:val="2"/>
          </w:tcPr>
          <w:p w14:paraId="2622A4B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Elaborarea curriculei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continuă angajează considerarea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coroborarea mai multor determinări: rolurile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ele specifice profesiei didactice, dezvoltările din domeniul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conexe, metodologia de formare profesională pentru cariera didactică stabilită prin documentele M.Ed.C., nevoile de pe pia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 muncii.</w:t>
            </w:r>
          </w:p>
        </w:tc>
        <w:tc>
          <w:tcPr>
            <w:tcW w:w="3636" w:type="dxa"/>
          </w:tcPr>
          <w:p w14:paraId="1A167A5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84A65B1" w14:textId="77777777" w:rsidTr="00F97D20">
        <w:tc>
          <w:tcPr>
            <w:tcW w:w="12224" w:type="dxa"/>
            <w:gridSpan w:val="2"/>
          </w:tcPr>
          <w:p w14:paraId="0BDD07B7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Programele de studii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continuă constituie un ansamblu unitar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coerent, asigurându-se continuitatea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ierile specifice; fiecare program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define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te antecedentele, inten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iile / rezultatele a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teptate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consecin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pentru următoarele etape de pregătire.</w:t>
            </w:r>
          </w:p>
        </w:tc>
        <w:tc>
          <w:tcPr>
            <w:tcW w:w="3636" w:type="dxa"/>
          </w:tcPr>
          <w:p w14:paraId="397DC06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2777658" w14:textId="77777777" w:rsidTr="00F97D20">
        <w:tc>
          <w:tcPr>
            <w:tcW w:w="12224" w:type="dxa"/>
            <w:gridSpan w:val="2"/>
          </w:tcPr>
          <w:p w14:paraId="492BF4F7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Concep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organizare a programelor de studii este flexibilă, integrând două componente:</w:t>
            </w:r>
          </w:p>
          <w:p w14:paraId="3661946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curriculum nucleu obligatoriu, definit prin documentele M.Ed.C.;</w:t>
            </w:r>
          </w:p>
          <w:p w14:paraId="58860F40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curriculum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ional, stabilit de DPPD pe baza analizei de nevoi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resurselor existente.</w:t>
            </w:r>
          </w:p>
        </w:tc>
        <w:tc>
          <w:tcPr>
            <w:tcW w:w="3636" w:type="dxa"/>
          </w:tcPr>
          <w:p w14:paraId="2A03E51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869AAAA" w14:textId="77777777" w:rsidTr="00F97D20">
        <w:tc>
          <w:tcPr>
            <w:tcW w:w="12224" w:type="dxa"/>
            <w:gridSpan w:val="2"/>
          </w:tcPr>
          <w:p w14:paraId="6C03FE8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Programul de formare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ială pentru cariera didactică este structurat pe două module:</w:t>
            </w:r>
          </w:p>
          <w:p w14:paraId="7047BAD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a) Modulul I (30 credite) efectuat, de regulă, pe parcursul semestrelor ciclului universitar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ă;</w:t>
            </w:r>
          </w:p>
          <w:p w14:paraId="0AD7761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b) Modulul II (30 credite) efectuat după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inerea diplomei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anterior sus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inerii examenului de definitivat. Modulul II poate fi urmat atât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care se înscriu la studiile de masterat, cât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care, după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inerea diplomei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ă, nu-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continuă studiile la master.</w:t>
            </w:r>
          </w:p>
        </w:tc>
        <w:tc>
          <w:tcPr>
            <w:tcW w:w="3636" w:type="dxa"/>
          </w:tcPr>
          <w:p w14:paraId="06DA1BD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60C388B" w14:textId="77777777" w:rsidTr="00F97D20">
        <w:tc>
          <w:tcPr>
            <w:tcW w:w="12224" w:type="dxa"/>
            <w:gridSpan w:val="2"/>
          </w:tcPr>
          <w:p w14:paraId="08C52D2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7. DPPD organizează cursuri postuniversitare la solicitarea persoanelor care nu au parcurs modulele 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II pe parcursul studiilor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masterat.</w:t>
            </w:r>
          </w:p>
        </w:tc>
        <w:tc>
          <w:tcPr>
            <w:tcW w:w="3636" w:type="dxa"/>
          </w:tcPr>
          <w:p w14:paraId="0F60F7B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2BA37CB" w14:textId="77777777" w:rsidTr="00F97D20">
        <w:tc>
          <w:tcPr>
            <w:tcW w:w="12224" w:type="dxa"/>
            <w:gridSpan w:val="2"/>
          </w:tcPr>
          <w:p w14:paraId="6DE1F92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8. Pregătirea psihopedagogică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metodică prin cele două module se realizează în conformitate cu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stabilite de M.Ed.C.</w:t>
            </w:r>
          </w:p>
        </w:tc>
        <w:tc>
          <w:tcPr>
            <w:tcW w:w="3636" w:type="dxa"/>
          </w:tcPr>
          <w:p w14:paraId="111FF9A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9019B7E" w14:textId="77777777" w:rsidTr="00F97D20">
        <w:tc>
          <w:tcPr>
            <w:tcW w:w="12224" w:type="dxa"/>
            <w:gridSpan w:val="2"/>
          </w:tcPr>
          <w:p w14:paraId="0CFB275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9. Pentru fiecare modul,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cuprinde disciplinele obligatorii prevăzute de documentele M.Ed.C.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discipline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la decizia DPPD.</w:t>
            </w:r>
          </w:p>
        </w:tc>
        <w:tc>
          <w:tcPr>
            <w:tcW w:w="3636" w:type="dxa"/>
          </w:tcPr>
          <w:p w14:paraId="1A20D7C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2BDB446" w14:textId="77777777" w:rsidTr="00F97D20">
        <w:tc>
          <w:tcPr>
            <w:tcW w:w="12224" w:type="dxa"/>
            <w:gridSpan w:val="2"/>
          </w:tcPr>
          <w:p w14:paraId="4DB71A3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10. Disciplinele Didactica specialită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Practica pedagogică vor fi precedate de absolvirea disciplinelor Psihologie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pedagogie. Disciplinele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pot fi frecventate în oricare dintre anii de studii universitare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ă.</w:t>
            </w:r>
          </w:p>
        </w:tc>
        <w:tc>
          <w:tcPr>
            <w:tcW w:w="3636" w:type="dxa"/>
          </w:tcPr>
          <w:p w14:paraId="0474DFE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9094843" w14:textId="77777777" w:rsidTr="00F97D20">
        <w:tc>
          <w:tcPr>
            <w:tcW w:w="12224" w:type="dxa"/>
            <w:gridSpan w:val="2"/>
          </w:tcPr>
          <w:p w14:paraId="12B9ACB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11.DPPD asigură programe de formare continuă pentru definitivat, gradul didactic 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gradul didactic 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i, de asemenea, participă la competi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inere a granturilor în vederea perfec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ionării periodice a personalului didactic.</w:t>
            </w:r>
          </w:p>
        </w:tc>
        <w:tc>
          <w:tcPr>
            <w:tcW w:w="3636" w:type="dxa"/>
          </w:tcPr>
          <w:p w14:paraId="782470D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2D8E106" w14:textId="77777777" w:rsidTr="00F97D20">
        <w:tc>
          <w:tcPr>
            <w:tcW w:w="12224" w:type="dxa"/>
            <w:gridSpan w:val="2"/>
          </w:tcPr>
          <w:p w14:paraId="642604A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12. Disciplinele de studiu din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sunt prevăzute într-o succesiune logică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au în vedere îndeplinirea următoarelor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e:</w:t>
            </w:r>
          </w:p>
          <w:p w14:paraId="218E9F5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definirea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delimitarea precisă a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elor generale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specialitate pe domeniul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iei, în corela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cu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corespunzătoare ale studiilor universitare de masterat;</w:t>
            </w:r>
          </w:p>
          <w:p w14:paraId="7782B5E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compatibilitatea cu cadrul de calificări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ional;</w:t>
            </w:r>
          </w:p>
          <w:p w14:paraId="6C8A143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compatibilitatea cu cadruri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programe de studii similare din state ale Uniunii Europene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din alte state ale lumii, ponderea disciplinelor fiind exprimată în credite de studii ECTS.</w:t>
            </w:r>
          </w:p>
        </w:tc>
        <w:tc>
          <w:tcPr>
            <w:tcW w:w="3636" w:type="dxa"/>
          </w:tcPr>
          <w:p w14:paraId="0836A15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13FC9C6" w14:textId="77777777" w:rsidTr="00F97D20">
        <w:tc>
          <w:tcPr>
            <w:tcW w:w="12224" w:type="dxa"/>
            <w:gridSpan w:val="2"/>
          </w:tcPr>
          <w:p w14:paraId="453D692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13. Disciplinele de studii cuprinse în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au programe analitice în care sunt precizate obiectivele disciplinei, con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inutul tematic de bază, repartizarea numărului de ore de curs, seminar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aplicative etc., pe teme, sistemul de evaluare al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bibliografia minimală.</w:t>
            </w:r>
          </w:p>
        </w:tc>
        <w:tc>
          <w:tcPr>
            <w:tcW w:w="3636" w:type="dxa"/>
          </w:tcPr>
          <w:p w14:paraId="5FF83CC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BA31C6D" w14:textId="77777777" w:rsidTr="00F97D20">
        <w:tc>
          <w:tcPr>
            <w:tcW w:w="12224" w:type="dxa"/>
            <w:gridSpan w:val="2"/>
          </w:tcPr>
          <w:p w14:paraId="172C8EF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14. Formele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“la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ă” sau alte forme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care nu presupun prezen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 obligatorie în campusul universitare nu se organizează fără a exista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“de zi”.</w:t>
            </w:r>
          </w:p>
        </w:tc>
        <w:tc>
          <w:tcPr>
            <w:tcW w:w="3636" w:type="dxa"/>
          </w:tcPr>
          <w:p w14:paraId="2375720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4C5BC38" w14:textId="77777777" w:rsidTr="00F97D20">
        <w:tc>
          <w:tcPr>
            <w:tcW w:w="12224" w:type="dxa"/>
            <w:gridSpan w:val="2"/>
          </w:tcPr>
          <w:p w14:paraId="6B8664C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15. Proiectarea, organizarea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stagiilor de practică în conformitate cu prevederile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în vigoare.</w:t>
            </w:r>
          </w:p>
        </w:tc>
        <w:tc>
          <w:tcPr>
            <w:tcW w:w="3636" w:type="dxa"/>
          </w:tcPr>
          <w:p w14:paraId="1DD5F93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73FD734" w14:textId="77777777" w:rsidTr="00F97D20">
        <w:tc>
          <w:tcPr>
            <w:tcW w:w="12224" w:type="dxa"/>
            <w:gridSpan w:val="2"/>
          </w:tcPr>
          <w:p w14:paraId="20D28E0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16. Pentru stagiile de practică DPPD a încheiat conven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colaborare, contracte sau alte documente cu 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ile baze de practică, în care sunt precizate: locul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perioada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urării practicii, modul de organizare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îndrumare, responsabilii din partea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bazei de practică etc.</w:t>
            </w:r>
          </w:p>
        </w:tc>
        <w:tc>
          <w:tcPr>
            <w:tcW w:w="3636" w:type="dxa"/>
          </w:tcPr>
          <w:p w14:paraId="489E982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511BABF" w14:textId="77777777" w:rsidTr="00F97D20">
        <w:tc>
          <w:tcPr>
            <w:tcW w:w="12224" w:type="dxa"/>
            <w:gridSpan w:val="2"/>
          </w:tcPr>
          <w:p w14:paraId="372FA0D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17.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50% din formele de verificare ale disciplinelor de studii prevăzute în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sunt examene.</w:t>
            </w:r>
          </w:p>
        </w:tc>
        <w:tc>
          <w:tcPr>
            <w:tcW w:w="3636" w:type="dxa"/>
          </w:tcPr>
          <w:p w14:paraId="393AEFE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6797758" w14:textId="77777777" w:rsidTr="00F97D20">
        <w:tc>
          <w:tcPr>
            <w:tcW w:w="15860" w:type="dxa"/>
            <w:gridSpan w:val="3"/>
          </w:tcPr>
          <w:p w14:paraId="3435FEB7" w14:textId="77777777" w:rsidR="00075971" w:rsidRPr="00367120" w:rsidRDefault="00075971" w:rsidP="00F97D20">
            <w:pPr>
              <w:ind w:left="360"/>
              <w:jc w:val="center"/>
              <w:rPr>
                <w:b/>
                <w:bCs/>
                <w:iCs/>
              </w:rPr>
            </w:pPr>
            <w:r w:rsidRPr="00367120">
              <w:rPr>
                <w:b/>
                <w:bCs/>
                <w:iCs/>
              </w:rPr>
              <w:t xml:space="preserve">IV. </w:t>
            </w:r>
            <w:r w:rsidRPr="00367120">
              <w:rPr>
                <w:b/>
                <w:bCs/>
                <w:iCs/>
                <w:caps/>
              </w:rPr>
              <w:t>STUDEN</w:t>
            </w:r>
            <w:r w:rsidR="00EE1A1A">
              <w:rPr>
                <w:b/>
                <w:bCs/>
                <w:iCs/>
                <w:caps/>
              </w:rPr>
              <w:t>Ț</w:t>
            </w:r>
            <w:r w:rsidRPr="00367120">
              <w:rPr>
                <w:b/>
                <w:bCs/>
                <w:iCs/>
                <w:caps/>
              </w:rPr>
              <w:t>II</w:t>
            </w:r>
          </w:p>
        </w:tc>
      </w:tr>
      <w:tr w:rsidR="00075971" w:rsidRPr="00367120" w14:paraId="04594C54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4CE41BAC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</w:rPr>
              <w:t>CERIN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660671DE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204B506E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6610DBBD" w14:textId="77777777" w:rsidTr="00F97D20">
        <w:tc>
          <w:tcPr>
            <w:tcW w:w="12224" w:type="dxa"/>
            <w:gridSpan w:val="2"/>
          </w:tcPr>
          <w:p w14:paraId="70D1E71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Beneficiari ai programelor oferite de DPPD pot fi: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universită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respective, personalul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conducere din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preuniversitar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superior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ai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ământului superior, postliceal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liceal.</w:t>
            </w:r>
          </w:p>
        </w:tc>
        <w:tc>
          <w:tcPr>
            <w:tcW w:w="3636" w:type="dxa"/>
          </w:tcPr>
          <w:p w14:paraId="3F9C310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682A4F5" w14:textId="77777777" w:rsidTr="00F97D20">
        <w:tc>
          <w:tcPr>
            <w:tcW w:w="12224" w:type="dxa"/>
            <w:gridSpan w:val="2"/>
          </w:tcPr>
          <w:p w14:paraId="2FCABC79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Admiterea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sau a altor categorii de beneficiari la programul de profesionalizare pentru cariera didactică se face pe baza unui interviu</w:t>
            </w:r>
          </w:p>
        </w:tc>
        <w:tc>
          <w:tcPr>
            <w:tcW w:w="3636" w:type="dxa"/>
          </w:tcPr>
          <w:p w14:paraId="0FAD4D7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BEEF04A" w14:textId="77777777" w:rsidTr="00F97D20">
        <w:tc>
          <w:tcPr>
            <w:tcW w:w="12224" w:type="dxa"/>
            <w:gridSpan w:val="2"/>
          </w:tcPr>
          <w:p w14:paraId="5CFEF7BC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iile de studiu (serii, grupe, subgrupe) sunt astfel dimensionate încât să asigure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eficientă a procesului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ământ.</w:t>
            </w:r>
          </w:p>
        </w:tc>
        <w:tc>
          <w:tcPr>
            <w:tcW w:w="3636" w:type="dxa"/>
          </w:tcPr>
          <w:p w14:paraId="3C72D1F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6F65B4B" w14:textId="77777777" w:rsidTr="00F97D20">
        <w:tc>
          <w:tcPr>
            <w:tcW w:w="12224" w:type="dxa"/>
            <w:gridSpan w:val="2"/>
          </w:tcPr>
          <w:p w14:paraId="388519C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Din orarul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ii, pentru programul de studii supus evaluării, rezultă posibilitatea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urării normale a procesului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în condi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iile legii.</w:t>
            </w:r>
          </w:p>
        </w:tc>
        <w:tc>
          <w:tcPr>
            <w:tcW w:w="3636" w:type="dxa"/>
          </w:tcPr>
          <w:p w14:paraId="6539D6E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E3DADD8" w14:textId="77777777" w:rsidTr="00F97D20">
        <w:tc>
          <w:tcPr>
            <w:tcW w:w="12224" w:type="dxa"/>
            <w:gridSpan w:val="2"/>
          </w:tcPr>
          <w:p w14:paraId="6419445B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Promovabilitatea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pe fiecare an de studiu să fie de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40% din numărul total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al seriei respective.</w:t>
            </w:r>
          </w:p>
        </w:tc>
        <w:tc>
          <w:tcPr>
            <w:tcW w:w="3636" w:type="dxa"/>
          </w:tcPr>
          <w:p w14:paraId="3860377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192CCF1" w14:textId="77777777" w:rsidTr="00F97D20">
        <w:tc>
          <w:tcPr>
            <w:tcW w:w="12224" w:type="dxa"/>
            <w:gridSpan w:val="2"/>
          </w:tcPr>
          <w:p w14:paraId="7F4325D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Rezultatele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inute de student pe parcursul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colarizării sunt atestate prin suplimentul la diplomă.</w:t>
            </w:r>
          </w:p>
        </w:tc>
        <w:tc>
          <w:tcPr>
            <w:tcW w:w="3636" w:type="dxa"/>
          </w:tcPr>
          <w:p w14:paraId="4E0F71E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F4E9B82" w14:textId="77777777" w:rsidTr="00F97D20">
        <w:tc>
          <w:tcPr>
            <w:tcW w:w="12224" w:type="dxa"/>
            <w:gridSpan w:val="2"/>
          </w:tcPr>
          <w:p w14:paraId="37CD21B4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7.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are reglementată procedura de promovare a studentului dintr-un an de studiu în altul,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 de creditele de studiu (ECTS) acumulate, precum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procedura de comprimare a studiilor.</w:t>
            </w:r>
          </w:p>
        </w:tc>
        <w:tc>
          <w:tcPr>
            <w:tcW w:w="3636" w:type="dxa"/>
          </w:tcPr>
          <w:p w14:paraId="5392BC4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6B843B7" w14:textId="77777777" w:rsidTr="00F97D20">
        <w:tc>
          <w:tcPr>
            <w:tcW w:w="12224" w:type="dxa"/>
            <w:gridSpan w:val="2"/>
          </w:tcPr>
          <w:p w14:paraId="45B09348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8. Conferirea certificatelor de studii respectă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în vigoare.</w:t>
            </w:r>
          </w:p>
        </w:tc>
        <w:tc>
          <w:tcPr>
            <w:tcW w:w="3636" w:type="dxa"/>
          </w:tcPr>
          <w:p w14:paraId="220F0ED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D70A4EB" w14:textId="77777777" w:rsidTr="00F97D20">
        <w:tc>
          <w:tcPr>
            <w:tcW w:w="15860" w:type="dxa"/>
            <w:gridSpan w:val="3"/>
          </w:tcPr>
          <w:p w14:paraId="560A8A83" w14:textId="77777777" w:rsidR="00075971" w:rsidRPr="00367120" w:rsidRDefault="00075971" w:rsidP="00F97D20">
            <w:pPr>
              <w:numPr>
                <w:ilvl w:val="0"/>
                <w:numId w:val="2"/>
              </w:numPr>
              <w:tabs>
                <w:tab w:val="clear" w:pos="1080"/>
                <w:tab w:val="num" w:pos="600"/>
              </w:tabs>
              <w:ind w:left="720" w:hanging="360"/>
              <w:jc w:val="center"/>
              <w:rPr>
                <w:b/>
              </w:rPr>
            </w:pPr>
            <w:r w:rsidRPr="00367120">
              <w:rPr>
                <w:b/>
                <w:bCs/>
                <w:iCs/>
              </w:rPr>
              <w:t xml:space="preserve">CERCETAREA </w:t>
            </w:r>
            <w:r w:rsidR="00EE1A1A">
              <w:rPr>
                <w:b/>
                <w:bCs/>
                <w:iCs/>
              </w:rPr>
              <w:t>Ș</w:t>
            </w:r>
            <w:r w:rsidRPr="00367120">
              <w:rPr>
                <w:b/>
                <w:bCs/>
                <w:iCs/>
              </w:rPr>
              <w:t>TIIN</w:t>
            </w:r>
            <w:r w:rsidR="00EE1A1A">
              <w:rPr>
                <w:b/>
                <w:bCs/>
                <w:iCs/>
              </w:rPr>
              <w:t>Ț</w:t>
            </w:r>
            <w:r w:rsidRPr="00367120">
              <w:rPr>
                <w:b/>
                <w:bCs/>
                <w:iCs/>
              </w:rPr>
              <w:t>IFICĂ</w:t>
            </w:r>
          </w:p>
        </w:tc>
      </w:tr>
      <w:tr w:rsidR="00075971" w:rsidRPr="00367120" w14:paraId="70BD0C2E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573C9B4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</w:rPr>
              <w:t>CERIN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160DBB76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27DD52C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CAE1B8D" w14:textId="77777777" w:rsidTr="00F97D20">
        <w:tc>
          <w:tcPr>
            <w:tcW w:w="12224" w:type="dxa"/>
            <w:gridSpan w:val="2"/>
          </w:tcPr>
          <w:p w14:paraId="1F893EE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DPPD dispune de plan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propriu, inclus în planul strategic al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i, respectiv, în cel al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care apar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ine, atestat prin documente aflate la departamente, la facultate etc.</w:t>
            </w:r>
          </w:p>
        </w:tc>
        <w:tc>
          <w:tcPr>
            <w:tcW w:w="3636" w:type="dxa"/>
          </w:tcPr>
          <w:p w14:paraId="6F3E862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DE8AAF3" w14:textId="77777777" w:rsidTr="00F97D20">
        <w:tc>
          <w:tcPr>
            <w:tcW w:w="12224" w:type="dxa"/>
            <w:gridSpan w:val="2"/>
          </w:tcPr>
          <w:p w14:paraId="4E63DAD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Temele de cercetare cuprinse în plan se înscriu în aria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ifică a domeniului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iei, psihologie, sociologie, studii integrate / interdisciplinare.</w:t>
            </w:r>
          </w:p>
        </w:tc>
        <w:tc>
          <w:tcPr>
            <w:tcW w:w="3636" w:type="dxa"/>
          </w:tcPr>
          <w:p w14:paraId="67CF7C83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87C50DC" w14:textId="77777777" w:rsidTr="00F97D20">
        <w:tc>
          <w:tcPr>
            <w:tcW w:w="12224" w:type="dxa"/>
            <w:gridSpan w:val="2"/>
          </w:tcPr>
          <w:p w14:paraId="01F2DB5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Personalul didactic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oară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în domeniul disciplinelor cuprinse în norma didactică pe care o acoperă.</w:t>
            </w:r>
          </w:p>
        </w:tc>
        <w:tc>
          <w:tcPr>
            <w:tcW w:w="3636" w:type="dxa"/>
          </w:tcPr>
          <w:p w14:paraId="5CD5286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C9467A3" w14:textId="77777777" w:rsidTr="00F97D20">
        <w:tc>
          <w:tcPr>
            <w:tcW w:w="12224" w:type="dxa"/>
            <w:gridSpan w:val="2"/>
          </w:tcPr>
          <w:p w14:paraId="5436FD69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Personalul didactic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oară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cercetare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 valorificate prin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în reviste de specialitate sau edituri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recunoscute de CNCSIS sau din străinătate, comunicări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ifice prezentate la sesiuni, simpozioane, seminarii etc.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i/sau străinătate, contracte, expertiză, consultan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etc. pe bază de contracte sau conven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încheiate cu parteneri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i/sau din străinătate,cu evaluare atestată de către comisii de specialitate etc.</w:t>
            </w:r>
          </w:p>
        </w:tc>
        <w:tc>
          <w:tcPr>
            <w:tcW w:w="3636" w:type="dxa"/>
          </w:tcPr>
          <w:p w14:paraId="5CA477C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2E69B01" w14:textId="77777777" w:rsidTr="00F97D20">
        <w:tc>
          <w:tcPr>
            <w:tcW w:w="12224" w:type="dxa"/>
            <w:gridSpan w:val="2"/>
          </w:tcPr>
          <w:p w14:paraId="5458973B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5. . Rezultatele cercetării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efectuate în cadrul laboratoarelor de cercetare proprii structurii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supuse evaluării sunt valorificate prin lucrări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publicate etc.</w:t>
            </w:r>
          </w:p>
        </w:tc>
        <w:tc>
          <w:tcPr>
            <w:tcW w:w="3636" w:type="dxa"/>
          </w:tcPr>
          <w:p w14:paraId="65AE830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AC34333" w14:textId="77777777" w:rsidTr="00F97D20">
        <w:tc>
          <w:tcPr>
            <w:tcW w:w="12224" w:type="dxa"/>
            <w:gridSpan w:val="2"/>
          </w:tcPr>
          <w:p w14:paraId="13D57D49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6. DPPD organizează periodic cu cadrele didactice, cercetătorii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sesiuni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ifice, simpozioane, conferin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e, mese rotunde, iar comunicările sunt publicate în buletine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 cotate ISBN, ISSN sau în reviste dedicate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organizate.</w:t>
            </w:r>
          </w:p>
        </w:tc>
        <w:tc>
          <w:tcPr>
            <w:tcW w:w="3636" w:type="dxa"/>
          </w:tcPr>
          <w:p w14:paraId="0034202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7D5F6DF" w14:textId="77777777" w:rsidTr="00F97D20">
        <w:tc>
          <w:tcPr>
            <w:tcW w:w="15860" w:type="dxa"/>
            <w:gridSpan w:val="3"/>
          </w:tcPr>
          <w:p w14:paraId="5FF5E819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  <w:bCs/>
                <w:iCs/>
              </w:rPr>
              <w:t>VI. BAZA MATERIALĂ</w:t>
            </w:r>
          </w:p>
        </w:tc>
      </w:tr>
      <w:tr w:rsidR="00075971" w:rsidRPr="00367120" w14:paraId="3B4CCC87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666CC983" w14:textId="77777777" w:rsidR="00075971" w:rsidRPr="00367120" w:rsidRDefault="00075971" w:rsidP="00F97D20">
            <w:pPr>
              <w:jc w:val="center"/>
            </w:pPr>
            <w:r w:rsidRPr="00367120">
              <w:rPr>
                <w:b/>
              </w:rPr>
              <w:t>CERIN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E NORMATIVE OBLIGATORII</w:t>
            </w:r>
          </w:p>
        </w:tc>
        <w:tc>
          <w:tcPr>
            <w:tcW w:w="3636" w:type="dxa"/>
            <w:vAlign w:val="center"/>
          </w:tcPr>
          <w:p w14:paraId="767B943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7DF1AB7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171AAC71" w14:textId="77777777" w:rsidTr="00F97D20">
        <w:tc>
          <w:tcPr>
            <w:tcW w:w="12224" w:type="dxa"/>
            <w:gridSpan w:val="2"/>
          </w:tcPr>
          <w:p w14:paraId="0C4F2319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Baza materială a DPPD trebuie să corespundă standardelor care asigură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unui proces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de calitate.</w:t>
            </w:r>
          </w:p>
        </w:tc>
        <w:tc>
          <w:tcPr>
            <w:tcW w:w="3636" w:type="dxa"/>
          </w:tcPr>
          <w:p w14:paraId="5302379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862A93F" w14:textId="77777777" w:rsidTr="00F97D20">
        <w:tc>
          <w:tcPr>
            <w:tcW w:w="12224" w:type="dxa"/>
            <w:gridSpan w:val="2"/>
          </w:tcPr>
          <w:p w14:paraId="75561AB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2.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superior organizatoare de programe de formare a personalului didactic trebuie să facă dovada cu acte corespunzătoare (acte de proprietate, contracte de închiriere, inventare, facturi etc.), de:</w:t>
            </w:r>
          </w:p>
          <w:p w14:paraId="034B595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adecvate procesului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proprietate sau prin închiriere;</w:t>
            </w:r>
          </w:p>
          <w:p w14:paraId="7CAE178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conven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colaborare, contracte sau alte documente cu 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ile baze de practică –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coli /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aplica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ie;</w:t>
            </w:r>
          </w:p>
          <w:p w14:paraId="3DC931C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soft-uri corespunzătoare disciplinelor de studiu din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cu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de utilizare a acestora;</w:t>
            </w:r>
          </w:p>
          <w:p w14:paraId="6A87250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</w:pPr>
            <w:r w:rsidRPr="00367120">
              <w:rPr>
                <w:sz w:val="22"/>
                <w:szCs w:val="22"/>
              </w:rPr>
              <w:t xml:space="preserve">- bibliotecă dotată cu sală de lectură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fond de carte propriu.</w:t>
            </w:r>
          </w:p>
        </w:tc>
        <w:tc>
          <w:tcPr>
            <w:tcW w:w="3636" w:type="dxa"/>
          </w:tcPr>
          <w:p w14:paraId="5DA5B02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15606C4" w14:textId="77777777" w:rsidTr="00F97D20">
        <w:tc>
          <w:tcPr>
            <w:tcW w:w="12224" w:type="dxa"/>
            <w:gridSpan w:val="2"/>
          </w:tcPr>
          <w:p w14:paraId="3C03A5C3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Capacitatea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iilor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pentru programul de studii supus evaluării trebuie să fie de:</w:t>
            </w:r>
          </w:p>
          <w:p w14:paraId="72FAF57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1mp. / loc, în sălile de curs;</w:t>
            </w:r>
          </w:p>
          <w:p w14:paraId="20A6D47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1,4 mp. / loc, în sălile de seminar;</w:t>
            </w:r>
          </w:p>
          <w:p w14:paraId="3B314F44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1,5 mp. / loc, în sălile de lectură din biblioteci;</w:t>
            </w:r>
          </w:p>
          <w:p w14:paraId="6DBAB778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minim 2,5 mp. / loc, în laboratoarele de informatică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cele ale disciplinelor de specialitate care utilizează calculatorul electronic;</w:t>
            </w:r>
          </w:p>
          <w:p w14:paraId="2F1D79A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minim 4 mp. / loc, în laboratoarele disciplinelor cu caracter tehnic, experimental, de proiectare etc.</w:t>
            </w:r>
          </w:p>
        </w:tc>
        <w:tc>
          <w:tcPr>
            <w:tcW w:w="3636" w:type="dxa"/>
          </w:tcPr>
          <w:p w14:paraId="18D07CF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F5785AD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2C4E3F2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Numărul de locuri în sălile de curs, seminar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laborator trebuie să fie corelat cu mărimea 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iilor de studiu (serii, grupe, subgrupe etc.),  conform normativelor </w:t>
            </w:r>
            <w:r w:rsidRPr="00367120">
              <w:rPr>
                <w:i/>
                <w:sz w:val="22"/>
                <w:szCs w:val="22"/>
              </w:rPr>
              <w:t>Ministerului Educa</w:t>
            </w:r>
            <w:r w:rsidR="00EE1A1A">
              <w:rPr>
                <w:i/>
                <w:sz w:val="22"/>
                <w:szCs w:val="22"/>
              </w:rPr>
              <w:t>ț</w:t>
            </w:r>
            <w:r w:rsidRPr="00367120">
              <w:rPr>
                <w:i/>
                <w:sz w:val="22"/>
                <w:szCs w:val="22"/>
              </w:rPr>
              <w:t xml:space="preserve">iei, Cercetării, Tineretului </w:t>
            </w:r>
            <w:r w:rsidR="00EE1A1A">
              <w:rPr>
                <w:i/>
                <w:sz w:val="22"/>
                <w:szCs w:val="22"/>
              </w:rPr>
              <w:t>ș</w:t>
            </w:r>
            <w:r w:rsidRPr="00367120">
              <w:rPr>
                <w:i/>
                <w:sz w:val="22"/>
                <w:szCs w:val="22"/>
              </w:rPr>
              <w:t>i Sportului.</w:t>
            </w:r>
            <w:r w:rsidRPr="00367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14:paraId="50DAA778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59463F6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0BB02AF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 Se asigură desfă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urarea lucrărilor aplicative la disciplinele de specialitate din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laboratoare dotate corespunzător, astfel încât, la nivelul unei 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studiu, să existe câte un calculator la cel mult 2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pentru ciclul de licen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un calculator pentru fiecare student, pentru ciclul de masterat.</w:t>
            </w:r>
          </w:p>
        </w:tc>
        <w:tc>
          <w:tcPr>
            <w:tcW w:w="3636" w:type="dxa"/>
          </w:tcPr>
          <w:p w14:paraId="006C4B6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CC71260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  <w:vAlign w:val="center"/>
          </w:tcPr>
          <w:p w14:paraId="38CBB627" w14:textId="77777777" w:rsidR="00075971" w:rsidRPr="00367120" w:rsidRDefault="00075971" w:rsidP="00F97D20">
            <w:pPr>
              <w:tabs>
                <w:tab w:val="left" w:pos="8339"/>
              </w:tabs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6. Bibliotecile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trebuie să asigure:</w:t>
            </w:r>
            <w:r w:rsidRPr="00367120">
              <w:rPr>
                <w:sz w:val="22"/>
                <w:szCs w:val="22"/>
              </w:rPr>
              <w:tab/>
            </w:r>
          </w:p>
          <w:p w14:paraId="7A17B6AE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număr de locuri în sălile de lectură corespunzător la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10% din numărul total al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ilor;</w:t>
            </w:r>
          </w:p>
          <w:p w14:paraId="7AC81A1B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- fondul de carte propriu din literatura de specialitate română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străină într-un număr de exemplare suficient pentru a acoperi integral disciplinele din planurile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din care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50% să reprezinte titluri de carte sau cursuri de specialitate pentru domeniul supus evaluării, apărute în ultimii 10 ani în edituri recunoscute;</w:t>
            </w:r>
          </w:p>
          <w:p w14:paraId="699E8966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fondul de carte din biblioteca proprie într-un număr suficient de exemplare pentru acoperirea necesită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tuturor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afla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în ciclul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anul de studii la care este prevăzută disciplina respectivă;</w:t>
            </w:r>
          </w:p>
          <w:p w14:paraId="0209F72F" w14:textId="77777777" w:rsidR="00075971" w:rsidRPr="00367120" w:rsidRDefault="00075971" w:rsidP="00F97D20">
            <w:pPr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- un număr suficient de abonamente la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periodice române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străine, corespunzător misiunii asumate.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14:paraId="535C737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A3B0B71" w14:textId="77777777" w:rsidTr="00F97D20">
        <w:tc>
          <w:tcPr>
            <w:tcW w:w="15860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18AB71" w14:textId="77777777" w:rsidR="00075971" w:rsidRPr="00367120" w:rsidRDefault="00075971" w:rsidP="00F97D20">
            <w:pPr>
              <w:jc w:val="center"/>
              <w:rPr>
                <w:b/>
                <w:sz w:val="6"/>
                <w:szCs w:val="6"/>
              </w:rPr>
            </w:pPr>
          </w:p>
          <w:p w14:paraId="7975DB39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 xml:space="preserve">STANDARDE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I INDICATORI DE PERFORMAN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Ă</w:t>
            </w:r>
          </w:p>
          <w:p w14:paraId="39681D5B" w14:textId="77777777" w:rsidR="00075971" w:rsidRPr="00367120" w:rsidRDefault="00075971" w:rsidP="00F97D20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075971" w:rsidRPr="00367120" w14:paraId="167B985F" w14:textId="77777777" w:rsidTr="00F97D20">
        <w:tc>
          <w:tcPr>
            <w:tcW w:w="15860" w:type="dxa"/>
            <w:gridSpan w:val="3"/>
            <w:shd w:val="clear" w:color="auto" w:fill="D9D9D9"/>
          </w:tcPr>
          <w:p w14:paraId="7632D0A7" w14:textId="77777777" w:rsidR="00075971" w:rsidRPr="00367120" w:rsidRDefault="00075971" w:rsidP="00F97D20">
            <w:pPr>
              <w:tabs>
                <w:tab w:val="left" w:pos="5325"/>
              </w:tabs>
              <w:jc w:val="center"/>
              <w:rPr>
                <w:b/>
              </w:rPr>
            </w:pPr>
            <w:r w:rsidRPr="00367120">
              <w:rPr>
                <w:b/>
              </w:rPr>
              <w:t>I. CAPACITATEA INSTITU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IONALĂ</w:t>
            </w:r>
          </w:p>
        </w:tc>
      </w:tr>
      <w:tr w:rsidR="00075971" w:rsidRPr="00367120" w14:paraId="702B575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E91382D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A.1. STRUCTURILE INSTITU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 xml:space="preserve">IONALE, ADMINISTRATIVE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I MANAGERIALE</w:t>
            </w:r>
          </w:p>
        </w:tc>
        <w:tc>
          <w:tcPr>
            <w:tcW w:w="3636" w:type="dxa"/>
            <w:vAlign w:val="center"/>
          </w:tcPr>
          <w:p w14:paraId="4424CAA6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527F13E7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45A3A18" w14:textId="77777777" w:rsidTr="00F97D20">
        <w:tc>
          <w:tcPr>
            <w:tcW w:w="15860" w:type="dxa"/>
            <w:gridSpan w:val="3"/>
          </w:tcPr>
          <w:p w14:paraId="49C276F4" w14:textId="77777777" w:rsidR="00075971" w:rsidRPr="00367120" w:rsidRDefault="00075971" w:rsidP="00F97D20">
            <w:pPr>
              <w:jc w:val="both"/>
            </w:pPr>
            <w:r w:rsidRPr="00367120">
              <w:rPr>
                <w:b/>
                <w:sz w:val="22"/>
                <w:szCs w:val="22"/>
              </w:rPr>
              <w:t xml:space="preserve">Standard S.A.1.1.:Misiune, obiective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integritate academică</w:t>
            </w:r>
          </w:p>
        </w:tc>
      </w:tr>
      <w:tr w:rsidR="00075971" w:rsidRPr="00367120" w14:paraId="3CB59712" w14:textId="77777777" w:rsidTr="00F97D20">
        <w:tc>
          <w:tcPr>
            <w:tcW w:w="12224" w:type="dxa"/>
            <w:gridSpan w:val="2"/>
          </w:tcPr>
          <w:p w14:paraId="5473812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DPPD este înfiin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ionează conform legii printr-un ordin al M.Ed.C.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14:paraId="6E2FD97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FDEEE9B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1D71714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DPPD are un Regulament propriu aprobat de către Senat, ale cărui prevederi sunt concordante cu legisla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cu principiile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iului European al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ământului Superior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sunt cunoscute de membrii comunită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universitare.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14:paraId="241334D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0EC6588" w14:textId="77777777" w:rsidTr="00F97D20">
        <w:tc>
          <w:tcPr>
            <w:tcW w:w="12224" w:type="dxa"/>
            <w:gridSpan w:val="2"/>
          </w:tcPr>
          <w:p w14:paraId="76746342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3. DPPD aderă la codul eticii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integrită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academice din cadrul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prin care apără valorile libertă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academice, autonomiei universitare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integrită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etice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dispune de practici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mecanisme clare pentru aplicarea codului.</w:t>
            </w:r>
          </w:p>
        </w:tc>
        <w:tc>
          <w:tcPr>
            <w:tcW w:w="3636" w:type="dxa"/>
          </w:tcPr>
          <w:p w14:paraId="6A10C898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4826DF1" w14:textId="77777777" w:rsidTr="00F97D20">
        <w:tc>
          <w:tcPr>
            <w:tcW w:w="12224" w:type="dxa"/>
            <w:gridSpan w:val="2"/>
          </w:tcPr>
          <w:p w14:paraId="27FFE4FB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DPPD dispune de practici de auditare internă / evaluarea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cu privire la principalele domenii ale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formare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continuă a personalului didactic, pentru a se asigura că angajamentele pe care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le-a asumat sunt respectate riguros, în condi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transparen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publică.</w:t>
            </w:r>
          </w:p>
        </w:tc>
        <w:tc>
          <w:tcPr>
            <w:tcW w:w="3636" w:type="dxa"/>
          </w:tcPr>
          <w:p w14:paraId="1F002B1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CBFEC57" w14:textId="77777777" w:rsidTr="00F97D20">
        <w:tc>
          <w:tcPr>
            <w:tcW w:w="15860" w:type="dxa"/>
            <w:gridSpan w:val="3"/>
          </w:tcPr>
          <w:p w14:paraId="7AC0AD29" w14:textId="77777777" w:rsidR="00075971" w:rsidRPr="00367120" w:rsidRDefault="00075971" w:rsidP="00F97D20">
            <w:r w:rsidRPr="00367120">
              <w:rPr>
                <w:b/>
                <w:sz w:val="22"/>
                <w:szCs w:val="22"/>
              </w:rPr>
              <w:t xml:space="preserve">Standard S.A.1.2.: Conducere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administra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ie </w:t>
            </w:r>
          </w:p>
        </w:tc>
      </w:tr>
      <w:tr w:rsidR="00075971" w:rsidRPr="00367120" w14:paraId="3DF24DF7" w14:textId="77777777" w:rsidTr="00F97D20">
        <w:tc>
          <w:tcPr>
            <w:tcW w:w="12224" w:type="dxa"/>
            <w:gridSpan w:val="2"/>
          </w:tcPr>
          <w:p w14:paraId="79DA958D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 DPPD are un sistem de conducere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un regulament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ionare internă care respectă reglementările legale în vigoare. Mecanismul </w:t>
            </w:r>
            <w:r w:rsidRPr="00367120">
              <w:rPr>
                <w:sz w:val="22"/>
                <w:szCs w:val="22"/>
              </w:rPr>
              <w:lastRenderedPageBreak/>
              <w:t>de alegere a reprezentan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în Consilii este clar descris în Carta Universitară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în Regulamentul intern. Acesta este democratic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transparent, nediscriminatoriu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nu limitează dreptul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de a reprezenta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a fi reprezenta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</w:t>
            </w:r>
          </w:p>
        </w:tc>
        <w:tc>
          <w:tcPr>
            <w:tcW w:w="3636" w:type="dxa"/>
          </w:tcPr>
          <w:p w14:paraId="51A83B28" w14:textId="77777777" w:rsidR="00075971" w:rsidRPr="00367120" w:rsidRDefault="00075971" w:rsidP="00F97D20">
            <w:pPr>
              <w:jc w:val="both"/>
            </w:pPr>
            <w:r w:rsidRPr="00367120">
              <w:lastRenderedPageBreak/>
              <w:t xml:space="preserve"> </w:t>
            </w:r>
          </w:p>
        </w:tc>
      </w:tr>
      <w:tr w:rsidR="00075971" w:rsidRPr="00367120" w14:paraId="3D336A4D" w14:textId="77777777" w:rsidTr="00F97D20">
        <w:tc>
          <w:tcPr>
            <w:tcW w:w="12224" w:type="dxa"/>
            <w:gridSpan w:val="2"/>
          </w:tcPr>
          <w:p w14:paraId="13A5CDCE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lastRenderedPageBreak/>
              <w:t>2. Directorul DPPD este cadru didactic titularizat ca profesor sau conferen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iar 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are norma de bază în universitate.</w:t>
            </w:r>
          </w:p>
        </w:tc>
        <w:tc>
          <w:tcPr>
            <w:tcW w:w="3636" w:type="dxa"/>
          </w:tcPr>
          <w:p w14:paraId="5AD51FD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9F63E44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7881D4B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3.</w:t>
            </w:r>
            <w:r w:rsidRPr="00367120">
              <w:rPr>
                <w:sz w:val="22"/>
                <w:szCs w:val="22"/>
              </w:rPr>
              <w:t xml:space="preserve"> DPPD are un plan strategic cu un orizont de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 patru ani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planuri opera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ionale anuale care sunt cunoscute de membrii departamentului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conducerea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/ universită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sunt aplicate conform unor practici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mecanisme de urmărire riguroasă.</w:t>
            </w:r>
          </w:p>
        </w:tc>
        <w:tc>
          <w:tcPr>
            <w:tcW w:w="3636" w:type="dxa"/>
          </w:tcPr>
          <w:p w14:paraId="27CACBB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147804D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66BF8A2C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4.</w:t>
            </w:r>
            <w:r w:rsidRPr="00367120">
              <w:rPr>
                <w:sz w:val="22"/>
                <w:szCs w:val="22"/>
              </w:rPr>
              <w:t xml:space="preserve"> DPPD dispune de o conducere care respectă reglementările legale în vigoare, este eficace în privin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 organizării, numărului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calificării personalului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ionează riguros prin serviciile oferite comunită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 universitare.</w:t>
            </w:r>
          </w:p>
        </w:tc>
        <w:tc>
          <w:tcPr>
            <w:tcW w:w="3636" w:type="dxa"/>
          </w:tcPr>
          <w:p w14:paraId="5D24A12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84C48B1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0F120515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A.2. BAZA MATERIALĂ</w:t>
            </w:r>
          </w:p>
        </w:tc>
        <w:tc>
          <w:tcPr>
            <w:tcW w:w="3636" w:type="dxa"/>
            <w:vAlign w:val="center"/>
          </w:tcPr>
          <w:p w14:paraId="4159BAD0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2A60A2A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2CF4A707" w14:textId="77777777" w:rsidTr="00F97D20">
        <w:tc>
          <w:tcPr>
            <w:tcW w:w="15860" w:type="dxa"/>
            <w:gridSpan w:val="3"/>
          </w:tcPr>
          <w:p w14:paraId="018D8359" w14:textId="77777777" w:rsidR="00075971" w:rsidRPr="00367120" w:rsidRDefault="00075971" w:rsidP="00F97D20">
            <w:pPr>
              <w:jc w:val="both"/>
            </w:pPr>
            <w:r w:rsidRPr="00367120">
              <w:rPr>
                <w:b/>
                <w:sz w:val="22"/>
                <w:szCs w:val="22"/>
              </w:rPr>
              <w:t>Standard S.A.2.1.: Patrimoniu, dotare, resurse financiare alocate</w:t>
            </w:r>
          </w:p>
        </w:tc>
      </w:tr>
      <w:tr w:rsidR="00075971" w:rsidRPr="00367120" w14:paraId="26AA5496" w14:textId="77777777" w:rsidTr="00F97D20">
        <w:tc>
          <w:tcPr>
            <w:tcW w:w="12224" w:type="dxa"/>
            <w:gridSpan w:val="2"/>
          </w:tcPr>
          <w:p w14:paraId="40B88C23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1.</w:t>
            </w:r>
            <w:r w:rsidRPr="00367120">
              <w:rPr>
                <w:sz w:val="22"/>
                <w:szCs w:val="22"/>
              </w:rPr>
              <w:t xml:space="preserve"> Respectând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dintre formele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(la zi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i, respectiv, obiectivele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de cercetare, universitatea asigură spa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cercetare DPPD care corespund specificului său, prin săli de predare, laboratoare didactice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centre de cercetare, în concordan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cu normele tehnice, de siguran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igienico-sanitare în vigoare. Calitatea acestora este evaluată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suprafa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ă, volum, starea tehnică, numărul total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i, numărul de personal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cercetare.</w:t>
            </w:r>
          </w:p>
        </w:tc>
        <w:tc>
          <w:tcPr>
            <w:tcW w:w="3636" w:type="dxa"/>
          </w:tcPr>
          <w:p w14:paraId="02E502D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4E1ACB0" w14:textId="77777777" w:rsidTr="00F97D20">
        <w:tc>
          <w:tcPr>
            <w:tcW w:w="12224" w:type="dxa"/>
            <w:gridSpan w:val="2"/>
          </w:tcPr>
          <w:p w14:paraId="6F7BC29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2.</w:t>
            </w:r>
            <w:r w:rsidRPr="00367120">
              <w:rPr>
                <w:sz w:val="22"/>
                <w:szCs w:val="22"/>
              </w:rPr>
              <w:t xml:space="preserve"> Sălile de predare / seminarizare dispun de echipamente tehnice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are, predare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comunicare care facilitează activitatea cadrului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receptivitatea fiecărui student; laboratoarele didactice dispun de echipamente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mijloace de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ionare corespunzătoare exigen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minime.</w:t>
            </w:r>
          </w:p>
        </w:tc>
        <w:tc>
          <w:tcPr>
            <w:tcW w:w="3636" w:type="dxa"/>
          </w:tcPr>
          <w:p w14:paraId="79E5830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547BD14" w14:textId="77777777" w:rsidTr="00F97D20">
        <w:tc>
          <w:tcPr>
            <w:tcW w:w="12224" w:type="dxa"/>
            <w:gridSpan w:val="2"/>
          </w:tcPr>
          <w:p w14:paraId="10AADED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3.</w:t>
            </w:r>
            <w:r w:rsidRPr="00367120">
              <w:rPr>
                <w:sz w:val="22"/>
                <w:szCs w:val="22"/>
              </w:rPr>
              <w:t xml:space="preserve"> DPPD demonstrează că dispune de surse de finan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resurse financiare suficiente, pe termen scurt (anual)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în perspectivă, pe care le alocă pentru a realiza în mod adecvat misiunea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obiectivele pe care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le-a fixat. DPPD dispune de un buget anual realist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un buget de perspectivă, precum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politici financiare pe termen scurt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mediu, cu referire la sustenabilitatea financiară.</w:t>
            </w:r>
          </w:p>
        </w:tc>
        <w:tc>
          <w:tcPr>
            <w:tcW w:w="3636" w:type="dxa"/>
          </w:tcPr>
          <w:p w14:paraId="06339E2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2CF1D93" w14:textId="77777777" w:rsidTr="00F97D20">
        <w:tc>
          <w:tcPr>
            <w:tcW w:w="15860" w:type="dxa"/>
            <w:gridSpan w:val="3"/>
            <w:shd w:val="clear" w:color="auto" w:fill="D9D9D9"/>
          </w:tcPr>
          <w:p w14:paraId="2C2D597F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II. EFICACITATEA EDUCA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IONALĂ</w:t>
            </w:r>
          </w:p>
        </w:tc>
      </w:tr>
      <w:tr w:rsidR="00075971" w:rsidRPr="00367120" w14:paraId="2FE194B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3EAE7256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B.1. CON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INUTUL PROGRAMELOR DE STUDII</w:t>
            </w:r>
          </w:p>
        </w:tc>
        <w:tc>
          <w:tcPr>
            <w:tcW w:w="3636" w:type="dxa"/>
            <w:vAlign w:val="center"/>
          </w:tcPr>
          <w:p w14:paraId="4565103A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512C69BF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7A22124C" w14:textId="77777777" w:rsidTr="00F97D20">
        <w:tc>
          <w:tcPr>
            <w:tcW w:w="15860" w:type="dxa"/>
            <w:gridSpan w:val="3"/>
          </w:tcPr>
          <w:p w14:paraId="7C12D92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S.B.1.1.: Admiterea studen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ilor</w:t>
            </w:r>
          </w:p>
        </w:tc>
      </w:tr>
      <w:tr w:rsidR="00075971" w:rsidRPr="00367120" w14:paraId="18AE8B3D" w14:textId="77777777" w:rsidTr="00F97D20">
        <w:tc>
          <w:tcPr>
            <w:tcW w:w="12224" w:type="dxa"/>
            <w:gridSpan w:val="2"/>
          </w:tcPr>
          <w:p w14:paraId="0824D923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DPPD aplică o politică transparentă a recrutării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admiterii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anun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ată public cu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6 luni înainte de aplicare. Marketingul universitar promovează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reale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corecte, indicând posibilită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 de verificare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confirmare. Admiterea se realizează pe bază de interviu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se bazează exclusiv pe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academice ale candidatului, fără a aplica nici un fel de criterii discriminatorii.</w:t>
            </w:r>
          </w:p>
        </w:tc>
        <w:tc>
          <w:tcPr>
            <w:tcW w:w="3636" w:type="dxa"/>
          </w:tcPr>
          <w:p w14:paraId="08AABA0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71F193C1" w14:textId="77777777" w:rsidTr="00F97D20">
        <w:tc>
          <w:tcPr>
            <w:tcW w:w="12224" w:type="dxa"/>
            <w:gridSpan w:val="2"/>
          </w:tcPr>
          <w:p w14:paraId="7B205296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Admiterea se realizează pe baza unui interviu.</w:t>
            </w:r>
          </w:p>
        </w:tc>
        <w:tc>
          <w:tcPr>
            <w:tcW w:w="3636" w:type="dxa"/>
          </w:tcPr>
          <w:p w14:paraId="220D43D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08930FF" w14:textId="77777777" w:rsidTr="00F97D20">
        <w:tc>
          <w:tcPr>
            <w:tcW w:w="15860" w:type="dxa"/>
            <w:gridSpan w:val="3"/>
          </w:tcPr>
          <w:p w14:paraId="5BBE59D5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 xml:space="preserve">Standard S.B.1.2.: Structura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prezentarea programelor de studii</w:t>
            </w:r>
          </w:p>
        </w:tc>
      </w:tr>
      <w:tr w:rsidR="00075971" w:rsidRPr="00367120" w14:paraId="0C1DBC57" w14:textId="77777777" w:rsidTr="00F97D20">
        <w:tc>
          <w:tcPr>
            <w:tcW w:w="12224" w:type="dxa"/>
            <w:gridSpan w:val="2"/>
          </w:tcPr>
          <w:p w14:paraId="1A2980B4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  <w:lang w:eastAsia="en-US"/>
              </w:rPr>
              <w:t>1.</w:t>
            </w:r>
            <w:r w:rsidRPr="00367120">
              <w:rPr>
                <w:sz w:val="22"/>
                <w:szCs w:val="22"/>
              </w:rPr>
              <w:t>Programele de studiu din cadrul DPPD se bazează pe coresponden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 dintre rezultatele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standardele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a personalului didactic. Programul de studiu este prezentat sub forma unui pachet de documente care include: obiectivele generale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specifice;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cu ponderea disciplinelor exprimată prin credite de studiu ECTS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cu disciplinele ordonate succesiv în timpul de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colarizare, definit în raport cu un curriculum nucleu statuat prin documentele M.Ed.C.; programele tematice sau fi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ele disciplinelor incluse în planul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ământ, respectiv rezultatele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ării exprimate în forma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elor specifice care sunt realizate de o disciplină; modul de examinare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evaluare la fiecare disciplină,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inând cont de rezultatele planificate; modul de organizare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inuturile examenului de finalizare a studiilor, ca examen sumativ care certifică asimilarea competen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elor cognitive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profesionale care corespund standardului profesional didactic.</w:t>
            </w:r>
          </w:p>
        </w:tc>
        <w:tc>
          <w:tcPr>
            <w:tcW w:w="3636" w:type="dxa"/>
          </w:tcPr>
          <w:p w14:paraId="453B399B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64046D2" w14:textId="77777777" w:rsidTr="00F97D20">
        <w:tc>
          <w:tcPr>
            <w:tcW w:w="12224" w:type="dxa"/>
            <w:gridSpan w:val="2"/>
          </w:tcPr>
          <w:p w14:paraId="6BCEFE9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Programele de studiu sunt unitare ca structură, indiferent de forma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(la zi, 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ă), dar se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iază în realizare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mijloacele utilizate în forma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ământ. Pentru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ământul la distan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indicatorul se diferen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iază în mod corespunzător.</w:t>
            </w:r>
          </w:p>
        </w:tc>
        <w:tc>
          <w:tcPr>
            <w:tcW w:w="3636" w:type="dxa"/>
          </w:tcPr>
          <w:p w14:paraId="7F09CE6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4EB3CD8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5AE9B470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Relevan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 cognitivă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profesională a programelor de studiu este definită în func</w:t>
            </w:r>
            <w:r w:rsidR="00EE1A1A">
              <w:rPr>
                <w:sz w:val="22"/>
                <w:szCs w:val="22"/>
              </w:rPr>
              <w:t>țț</w:t>
            </w:r>
            <w:r w:rsidRPr="00367120">
              <w:rPr>
                <w:sz w:val="22"/>
                <w:szCs w:val="22"/>
              </w:rPr>
              <w:t>ie de ritmul dezvoltării cunoa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terii din domeniu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ele pie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ei muncii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ale standardelor profesional-didactice. DPPD dispune de mecanisme pentru analiza colegială anuală a </w:t>
            </w:r>
            <w:r w:rsidRPr="00367120">
              <w:rPr>
                <w:sz w:val="22"/>
                <w:szCs w:val="22"/>
              </w:rPr>
              <w:lastRenderedPageBreak/>
              <w:t>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pentru analiza schimbărilor care se produc în profilurile calificării didactice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 impactul acestora asupra organizării programului de studiu.</w:t>
            </w:r>
          </w:p>
        </w:tc>
        <w:tc>
          <w:tcPr>
            <w:tcW w:w="3636" w:type="dxa"/>
          </w:tcPr>
          <w:p w14:paraId="52BC17D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5418360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F89E49E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lastRenderedPageBreak/>
              <w:t>B.2. REZULTATELE ÎNVĂ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ĂRII</w:t>
            </w:r>
          </w:p>
        </w:tc>
        <w:tc>
          <w:tcPr>
            <w:tcW w:w="3636" w:type="dxa"/>
            <w:vAlign w:val="center"/>
          </w:tcPr>
          <w:p w14:paraId="0814331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9F84A27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470568B8" w14:textId="77777777" w:rsidTr="00F97D20">
        <w:tc>
          <w:tcPr>
            <w:tcW w:w="15860" w:type="dxa"/>
            <w:gridSpan w:val="3"/>
          </w:tcPr>
          <w:p w14:paraId="0D59BF1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S.B.2.1.: Valorificare calificării universitare ob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inute</w:t>
            </w:r>
          </w:p>
        </w:tc>
      </w:tr>
      <w:tr w:rsidR="00075971" w:rsidRPr="00367120" w14:paraId="06716DA1" w14:textId="77777777" w:rsidTr="00F97D20">
        <w:tc>
          <w:tcPr>
            <w:tcW w:w="12224" w:type="dxa"/>
            <w:gridSpan w:val="2"/>
          </w:tcPr>
          <w:p w14:paraId="358F22A0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50% dintre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au avut rezultate pozitive la examenele na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de ocupare a posturilor didactice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ământul preuniversitar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sunt angaja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ământ în termen de doi ani de la data absolvirii.</w:t>
            </w:r>
          </w:p>
        </w:tc>
        <w:tc>
          <w:tcPr>
            <w:tcW w:w="3636" w:type="dxa"/>
          </w:tcPr>
          <w:p w14:paraId="4F302E6A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34D4291" w14:textId="77777777" w:rsidTr="00F97D20">
        <w:tc>
          <w:tcPr>
            <w:tcW w:w="12224" w:type="dxa"/>
            <w:gridSpan w:val="2"/>
          </w:tcPr>
          <w:p w14:paraId="48877A2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20% dintre absolven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ultimelor două promo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ale DPPD sunt admi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la studii universitare de masterat, în domeniul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elor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iei.</w:t>
            </w:r>
          </w:p>
        </w:tc>
        <w:tc>
          <w:tcPr>
            <w:tcW w:w="3636" w:type="dxa"/>
          </w:tcPr>
          <w:p w14:paraId="1065FAA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3F13936" w14:textId="77777777" w:rsidTr="00F97D20">
        <w:tc>
          <w:tcPr>
            <w:tcW w:w="12224" w:type="dxa"/>
            <w:gridSpan w:val="2"/>
          </w:tcPr>
          <w:p w14:paraId="35FF781D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Mai mult de 50% dintre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apreciază pozitiv mediul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/ dezvoltare oferit de către DPPD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propriul lor traseu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are.</w:t>
            </w:r>
          </w:p>
        </w:tc>
        <w:tc>
          <w:tcPr>
            <w:tcW w:w="3636" w:type="dxa"/>
          </w:tcPr>
          <w:p w14:paraId="24AFB64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9E3B02E" w14:textId="77777777" w:rsidTr="00F97D20">
        <w:tc>
          <w:tcPr>
            <w:tcW w:w="12224" w:type="dxa"/>
            <w:gridSpan w:val="2"/>
          </w:tcPr>
          <w:p w14:paraId="582C778D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Principala responsabilitate a cadrului didactic este proiectarea metodelor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mediilor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 centrate pe student, cu mai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accent asupra responsabilită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tradi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 de a transmite doar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ii. Rela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 dintre student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profesor este una de parteneriat, în care fiecare î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asumă responsabilitatea atingerii rezultatelor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ării. Rezultatele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ării sunt explicate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discutate cu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din perspectiva relevan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ei acestora pentru dezvoltarea lor. Cadrele didactice folosesc resursele noilor tehnologii (ex. e-mail, pagina personală de web pentru tematică, bibliografie, resurse în format electronic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dialog cu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ii)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materiale auxiliare, de la tablă, la flipchart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videoproiector</w:t>
            </w:r>
          </w:p>
        </w:tc>
        <w:tc>
          <w:tcPr>
            <w:tcW w:w="3636" w:type="dxa"/>
          </w:tcPr>
          <w:p w14:paraId="3CF33922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7665FE4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0EEAC4F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5. Profesorii au ore de permanen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la dispozi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personalizează îndrumarea la cererea studentului.Există îndrumători sau tutori de an / serii sau alte forme de asociere între un profesor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un grup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</w:t>
            </w:r>
          </w:p>
        </w:tc>
        <w:tc>
          <w:tcPr>
            <w:tcW w:w="3636" w:type="dxa"/>
          </w:tcPr>
          <w:p w14:paraId="5F92A23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B0E1233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4D7978FB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 xml:space="preserve">B.3. ACTIVITATEA DE CERCETARE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TIIN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IFICĂ</w:t>
            </w:r>
          </w:p>
        </w:tc>
        <w:tc>
          <w:tcPr>
            <w:tcW w:w="3636" w:type="dxa"/>
            <w:vAlign w:val="center"/>
          </w:tcPr>
          <w:p w14:paraId="4823162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5153E92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096EE8A8" w14:textId="77777777" w:rsidTr="00F97D20">
        <w:tc>
          <w:tcPr>
            <w:tcW w:w="15860" w:type="dxa"/>
            <w:gridSpan w:val="3"/>
          </w:tcPr>
          <w:p w14:paraId="05DCF9FC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S.B.3.1. : Programe de cercetare</w:t>
            </w:r>
          </w:p>
        </w:tc>
      </w:tr>
      <w:tr w:rsidR="00075971" w:rsidRPr="00367120" w14:paraId="6A446E97" w14:textId="77777777" w:rsidTr="00F97D20">
        <w:tc>
          <w:tcPr>
            <w:tcW w:w="12224" w:type="dxa"/>
            <w:gridSpan w:val="2"/>
          </w:tcPr>
          <w:p w14:paraId="7EE019AB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Strategia pe termen lung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programele pe termen mediu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scurt privind cercetarea sunt adoptate de Senat, Consiliile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Consiliile DPPD, odată cu specificarea practicilor de ob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inere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alocare ale resurselor de realizare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 modalită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de valorificare. Interesele de cercetare sunt predominant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ionale.</w:t>
            </w:r>
          </w:p>
        </w:tc>
        <w:tc>
          <w:tcPr>
            <w:tcW w:w="3636" w:type="dxa"/>
          </w:tcPr>
          <w:p w14:paraId="7645AE80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A2B97C5" w14:textId="77777777" w:rsidTr="00F97D20">
        <w:tc>
          <w:tcPr>
            <w:tcW w:w="12224" w:type="dxa"/>
            <w:gridSpan w:val="2"/>
          </w:tcPr>
          <w:p w14:paraId="5E538E1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Cercetarea dispune de resurse financiare, logistice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umane suficiente pentru a realiza obiectivele propuse.</w:t>
            </w:r>
          </w:p>
        </w:tc>
        <w:tc>
          <w:tcPr>
            <w:tcW w:w="3636" w:type="dxa"/>
          </w:tcPr>
          <w:p w14:paraId="467DFBA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EF0751F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256A4E90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Cercetarea este valorificată prin: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pentru scopuri didactice,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ifice, centre de consultan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ă sau alte structuri de valorificare etc. Fiecare cadru didactic are anual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o publica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 sau o realizare didactică sau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tiin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ifică.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ia participă prin mass-media la diseminarea rezultatelor cercetării.</w:t>
            </w:r>
          </w:p>
        </w:tc>
        <w:tc>
          <w:tcPr>
            <w:tcW w:w="3636" w:type="dxa"/>
          </w:tcPr>
          <w:p w14:paraId="7A54B6A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195E39C" w14:textId="77777777" w:rsidTr="00F97D20">
        <w:tc>
          <w:tcPr>
            <w:tcW w:w="15860" w:type="dxa"/>
            <w:gridSpan w:val="3"/>
            <w:shd w:val="clear" w:color="auto" w:fill="D9D9D9"/>
          </w:tcPr>
          <w:p w14:paraId="09C9E654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III. MANAGEMENTUL CALITĂ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II</w:t>
            </w:r>
          </w:p>
        </w:tc>
      </w:tr>
      <w:tr w:rsidR="00075971" w:rsidRPr="00367120" w14:paraId="27B33D43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0E4988E7" w14:textId="77777777" w:rsidR="00075971" w:rsidRPr="00367120" w:rsidRDefault="00075971" w:rsidP="00F97D20">
            <w:pPr>
              <w:jc w:val="center"/>
              <w:rPr>
                <w:b/>
                <w:caps/>
              </w:rPr>
            </w:pPr>
            <w:r w:rsidRPr="00367120">
              <w:rPr>
                <w:b/>
                <w:caps/>
              </w:rPr>
              <w:t xml:space="preserve">C.1  Strategii </w:t>
            </w:r>
            <w:r w:rsidR="00EE1A1A">
              <w:rPr>
                <w:b/>
                <w:caps/>
              </w:rPr>
              <w:t>ș</w:t>
            </w:r>
            <w:r w:rsidRPr="00367120">
              <w:rPr>
                <w:b/>
                <w:caps/>
              </w:rPr>
              <w:t>i proceduri pentru asigurarea calită</w:t>
            </w:r>
            <w:r w:rsidR="00EE1A1A">
              <w:rPr>
                <w:b/>
                <w:caps/>
              </w:rPr>
              <w:t>ț</w:t>
            </w:r>
            <w:r w:rsidRPr="00367120">
              <w:rPr>
                <w:b/>
                <w:caps/>
              </w:rPr>
              <w:t>ii</w:t>
            </w:r>
          </w:p>
        </w:tc>
        <w:tc>
          <w:tcPr>
            <w:tcW w:w="3636" w:type="dxa"/>
            <w:vAlign w:val="center"/>
          </w:tcPr>
          <w:p w14:paraId="3615C65B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7C6772F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577F97BB" w14:textId="77777777" w:rsidTr="00F97D20">
        <w:tc>
          <w:tcPr>
            <w:tcW w:w="15860" w:type="dxa"/>
            <w:gridSpan w:val="3"/>
            <w:vAlign w:val="center"/>
          </w:tcPr>
          <w:p w14:paraId="2241F5CE" w14:textId="77777777" w:rsidR="00075971" w:rsidRPr="00367120" w:rsidRDefault="00075971" w:rsidP="00F97D20">
            <w:pPr>
              <w:jc w:val="both"/>
              <w:rPr>
                <w:b/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 xml:space="preserve">Standard S.C.1.1: Structuri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politici pentru asigurarea calită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ii</w:t>
            </w:r>
          </w:p>
        </w:tc>
      </w:tr>
      <w:tr w:rsidR="00075971" w:rsidRPr="00367120" w14:paraId="24481821" w14:textId="77777777" w:rsidTr="00F97D20">
        <w:tc>
          <w:tcPr>
            <w:tcW w:w="12224" w:type="dxa"/>
            <w:gridSpan w:val="2"/>
            <w:vAlign w:val="center"/>
          </w:tcPr>
          <w:p w14:paraId="54ECCE1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În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 există o comisie centrală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comisii pe programe de studii (formare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formare continuă) care lucrează în mod integrat.</w:t>
            </w:r>
          </w:p>
        </w:tc>
        <w:tc>
          <w:tcPr>
            <w:tcW w:w="3636" w:type="dxa"/>
          </w:tcPr>
          <w:p w14:paraId="1BABAE3D" w14:textId="77777777" w:rsidR="00075971" w:rsidRPr="00367120" w:rsidRDefault="00075971" w:rsidP="00F97D20">
            <w:pPr>
              <w:jc w:val="center"/>
              <w:rPr>
                <w:b/>
              </w:rPr>
            </w:pPr>
          </w:p>
        </w:tc>
      </w:tr>
      <w:tr w:rsidR="00075971" w:rsidRPr="00367120" w14:paraId="0551B440" w14:textId="77777777" w:rsidTr="00F97D20">
        <w:tc>
          <w:tcPr>
            <w:tcW w:w="12224" w:type="dxa"/>
            <w:gridSpan w:val="2"/>
            <w:vAlign w:val="center"/>
          </w:tcPr>
          <w:p w14:paraId="7CD265C7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Există un program de politici ale DPPD centrate pe calitate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sunt precizate mijloacele de realizare.</w:t>
            </w:r>
          </w:p>
        </w:tc>
        <w:tc>
          <w:tcPr>
            <w:tcW w:w="3636" w:type="dxa"/>
          </w:tcPr>
          <w:p w14:paraId="2E97818C" w14:textId="77777777" w:rsidR="00075971" w:rsidRPr="00367120" w:rsidRDefault="00075971" w:rsidP="00F97D20">
            <w:pPr>
              <w:jc w:val="center"/>
              <w:rPr>
                <w:b/>
              </w:rPr>
            </w:pPr>
          </w:p>
        </w:tc>
      </w:tr>
      <w:tr w:rsidR="00075971" w:rsidRPr="00367120" w14:paraId="0FC20162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2A7CAD4E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C.2. PROCEDURI PRIVIND INI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 xml:space="preserve">IEREA, MONITORIZAREA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 xml:space="preserve">I REVIZUIREA PERIODICĂ A PROGRAMELOR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I ACTIVITĂ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ILOR DESFĂ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URATE</w:t>
            </w:r>
          </w:p>
        </w:tc>
        <w:tc>
          <w:tcPr>
            <w:tcW w:w="3636" w:type="dxa"/>
            <w:vAlign w:val="center"/>
          </w:tcPr>
          <w:p w14:paraId="0C1149B4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0E4532FE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5FEF57FA" w14:textId="77777777" w:rsidTr="00F97D20">
        <w:tc>
          <w:tcPr>
            <w:tcW w:w="15860" w:type="dxa"/>
            <w:gridSpan w:val="3"/>
          </w:tcPr>
          <w:p w14:paraId="20BBCE8A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S.C.2.1. : Ini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ierea, monitorizarea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 xml:space="preserve">i evaluarea periodică a programelor de studii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certificatelor DPPD</w:t>
            </w:r>
          </w:p>
        </w:tc>
      </w:tr>
      <w:tr w:rsidR="00075971" w:rsidRPr="00367120" w14:paraId="4FA68951" w14:textId="77777777" w:rsidTr="00F97D20">
        <w:tc>
          <w:tcPr>
            <w:tcW w:w="12224" w:type="dxa"/>
            <w:gridSpan w:val="2"/>
          </w:tcPr>
          <w:p w14:paraId="7C0EF579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Existenta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aplicarea Regulamentului privitor la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ierea, aprobarea, monitorizarea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evaluarea periodică a programelor de studiu. Regulamentul se aplică atât pentru formarea ini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ială, cât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pentru formarea continuă.</w:t>
            </w:r>
          </w:p>
        </w:tc>
        <w:tc>
          <w:tcPr>
            <w:tcW w:w="3636" w:type="dxa"/>
          </w:tcPr>
          <w:p w14:paraId="64EC131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51BAC968" w14:textId="77777777" w:rsidTr="00F97D20">
        <w:tc>
          <w:tcPr>
            <w:tcW w:w="12224" w:type="dxa"/>
            <w:gridSpan w:val="2"/>
          </w:tcPr>
          <w:p w14:paraId="42EEC856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Programele de studiu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certificatele sunt elaborate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emise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standardele profesional–didactice.</w:t>
            </w:r>
          </w:p>
        </w:tc>
        <w:tc>
          <w:tcPr>
            <w:tcW w:w="3636" w:type="dxa"/>
          </w:tcPr>
          <w:p w14:paraId="5D8851E6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1E00D6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05CD875B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lastRenderedPageBreak/>
              <w:t xml:space="preserve">C.3. PROCEDURI OBIECTIVE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I TRANSPARENTE DE EVALUARE A REZULTATELOR ÎNVĂ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ĂRII</w:t>
            </w:r>
          </w:p>
        </w:tc>
        <w:tc>
          <w:tcPr>
            <w:tcW w:w="3636" w:type="dxa"/>
            <w:vAlign w:val="center"/>
          </w:tcPr>
          <w:p w14:paraId="38CE691A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61A2E961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752506D0" w14:textId="77777777" w:rsidTr="00F97D20">
        <w:tc>
          <w:tcPr>
            <w:tcW w:w="15860" w:type="dxa"/>
            <w:gridSpan w:val="3"/>
          </w:tcPr>
          <w:p w14:paraId="4B6ECFC1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S.C.3.1. : Evaluarea studen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ilor</w:t>
            </w:r>
          </w:p>
        </w:tc>
      </w:tr>
      <w:tr w:rsidR="00075971" w:rsidRPr="00367120" w14:paraId="05A98DC1" w14:textId="77777777" w:rsidTr="00F97D20">
        <w:tc>
          <w:tcPr>
            <w:tcW w:w="12224" w:type="dxa"/>
            <w:gridSpan w:val="2"/>
          </w:tcPr>
          <w:p w14:paraId="28834264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Există un regulament privind examinarea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notarea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ilor, care este aplicat în mod riguros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consecvent de către titularii de cursuri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 La examinare participă, pe lângă titularul cursului, cel pu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in încă un alt cadru didactic de specialitate.</w:t>
            </w:r>
          </w:p>
        </w:tc>
        <w:tc>
          <w:tcPr>
            <w:tcW w:w="3636" w:type="dxa"/>
          </w:tcPr>
          <w:p w14:paraId="4E96AE4D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6194C04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54AFC70E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Fiecare curs este astfel proiectat încât să îmbine predarea,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examinarea. Procedeele de examinare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evaluare 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sunt centrate pe rezultatele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ării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anun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ate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din timp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 detaliu.</w:t>
            </w:r>
          </w:p>
        </w:tc>
        <w:tc>
          <w:tcPr>
            <w:tcW w:w="3636" w:type="dxa"/>
          </w:tcPr>
          <w:p w14:paraId="767448C9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2DC74ADF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73861F2D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C.4. PROCEDURI DE EVALUARE PERIODICĂ A CALITĂ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II CORPULUI PROFESORAL</w:t>
            </w:r>
          </w:p>
        </w:tc>
        <w:tc>
          <w:tcPr>
            <w:tcW w:w="3636" w:type="dxa"/>
            <w:vAlign w:val="center"/>
          </w:tcPr>
          <w:p w14:paraId="7B66E67F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35A59EBB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1D3BA3E7" w14:textId="77777777" w:rsidTr="00F97D20">
        <w:tc>
          <w:tcPr>
            <w:tcW w:w="15860" w:type="dxa"/>
            <w:gridSpan w:val="3"/>
          </w:tcPr>
          <w:p w14:paraId="519005C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 xml:space="preserve">Standard S.C.4.1.: Calitatea personalului didactic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de cercetare</w:t>
            </w:r>
          </w:p>
        </w:tc>
      </w:tr>
      <w:tr w:rsidR="00075971" w:rsidRPr="00367120" w14:paraId="03D2BAF4" w14:textId="77777777" w:rsidTr="00F97D20">
        <w:tc>
          <w:tcPr>
            <w:tcW w:w="12224" w:type="dxa"/>
            <w:gridSpan w:val="2"/>
          </w:tcPr>
          <w:p w14:paraId="140B9642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În func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de specificul programului de studiu, DPPD stabile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 acel raport pe care îl consideră ca optim pentru obiectivele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nivelul propriu al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academice între numărul de cadre didactice titulare cu norma de bază în universitate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numărul total de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înmatricula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i. În evaluarea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se consideră că un cadru didactic are norma de bază într-o singură universitate.</w:t>
            </w:r>
          </w:p>
        </w:tc>
        <w:tc>
          <w:tcPr>
            <w:tcW w:w="3636" w:type="dxa"/>
          </w:tcPr>
          <w:p w14:paraId="1B902471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FBFC034" w14:textId="77777777" w:rsidTr="00F97D20">
        <w:tc>
          <w:tcPr>
            <w:tcW w:w="12224" w:type="dxa"/>
            <w:gridSpan w:val="2"/>
          </w:tcPr>
          <w:p w14:paraId="465AC31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2. Evaluarea colegială este organizată periodic, fiind bazată pe criterii generale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 preferin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colegiale.</w:t>
            </w:r>
          </w:p>
        </w:tc>
        <w:tc>
          <w:tcPr>
            <w:tcW w:w="3636" w:type="dxa"/>
          </w:tcPr>
          <w:p w14:paraId="22FAEF6C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59FD48C" w14:textId="77777777" w:rsidTr="00F97D20">
        <w:tc>
          <w:tcPr>
            <w:tcW w:w="12224" w:type="dxa"/>
            <w:gridSpan w:val="2"/>
          </w:tcPr>
          <w:p w14:paraId="4A3D46A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Există un formular de evaluare de către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a tuturor cadrelor didactice, aprobat de Senat, care se aplică op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ional după fiecare ciclu semestrial de instruire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ale cărui rezultate sunt confiden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iale, fiind accesibil doar directorului de departament, decanului, rectorului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persoanei evaluate.</w:t>
            </w:r>
          </w:p>
        </w:tc>
        <w:tc>
          <w:tcPr>
            <w:tcW w:w="3636" w:type="dxa"/>
          </w:tcPr>
          <w:p w14:paraId="2BCD7F7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816BCA5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5FA9A9F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4. Cadrul didactic se autoevaluează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este evaluat anual de către directorul de departament.</w:t>
            </w:r>
          </w:p>
        </w:tc>
        <w:tc>
          <w:tcPr>
            <w:tcW w:w="3636" w:type="dxa"/>
          </w:tcPr>
          <w:p w14:paraId="0AE96D67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9E54158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5B4FD092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C.5. ACCESIBILITATEA RESURSELOR ADECVATE ÎNVĂ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ĂRII</w:t>
            </w:r>
          </w:p>
        </w:tc>
        <w:tc>
          <w:tcPr>
            <w:tcW w:w="3636" w:type="dxa"/>
            <w:vAlign w:val="center"/>
          </w:tcPr>
          <w:p w14:paraId="2001479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6C23F119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0780D307" w14:textId="77777777" w:rsidTr="00F97D20">
        <w:tc>
          <w:tcPr>
            <w:tcW w:w="15860" w:type="dxa"/>
            <w:gridSpan w:val="3"/>
          </w:tcPr>
          <w:p w14:paraId="2B08B126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S.C.5.1.: Resurse de învă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are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servicii studen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e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ti</w:t>
            </w:r>
          </w:p>
        </w:tc>
      </w:tr>
      <w:tr w:rsidR="00075971" w:rsidRPr="00367120" w14:paraId="7995DFC3" w14:textId="77777777" w:rsidTr="00F97D20">
        <w:tc>
          <w:tcPr>
            <w:tcW w:w="12224" w:type="dxa"/>
            <w:gridSpan w:val="2"/>
          </w:tcPr>
          <w:p w14:paraId="742C6D4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Universitatea / Facultatea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DPPD asigură resurse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 (manuale, tratate, referin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bibliografice, crestoma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ii, antologii etc.) pentru fiecare program de studiu, în biblioteci, centre de resurse etc., în format clasic sau electronic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în mod gratuit. Biblioteca facultă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/ departamentului trebuie să dispună, pe lângă accesul electronic, de un număr corespunzător de volume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străinătate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 abonamente la principalele reviste de specialitate din 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străinătate pentru fiecare disciplină care define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te un program de studiu. Fiecare bibliotecă are un program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resurse de procurare a căr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revistelor.</w:t>
            </w:r>
          </w:p>
        </w:tc>
        <w:tc>
          <w:tcPr>
            <w:tcW w:w="3636" w:type="dxa"/>
          </w:tcPr>
          <w:p w14:paraId="676A719F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8B154ED" w14:textId="77777777" w:rsidTr="00F97D20">
        <w:tc>
          <w:tcPr>
            <w:tcW w:w="12224" w:type="dxa"/>
            <w:gridSpan w:val="2"/>
          </w:tcPr>
          <w:p w14:paraId="05B6377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2. Fiecare cadru didactic dispune de strategii actualizate de predare pentru fiecare curs, conforme cu programul de studiu, caracteristicile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ilor, forma de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ământ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criteriile de calitate predefinite.</w:t>
            </w:r>
          </w:p>
        </w:tc>
        <w:tc>
          <w:tcPr>
            <w:tcW w:w="3636" w:type="dxa"/>
          </w:tcPr>
          <w:p w14:paraId="3A7AEBB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62875CA2" w14:textId="77777777" w:rsidTr="00F97D20">
        <w:tc>
          <w:tcPr>
            <w:tcW w:w="12224" w:type="dxa"/>
            <w:gridSpan w:val="2"/>
          </w:tcPr>
          <w:p w14:paraId="6613B73A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3. DPPD dispune de programe de stimulare a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ilor cu performan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e înalte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are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recuperare a celor cu dificultă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 în învă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are.</w:t>
            </w:r>
          </w:p>
        </w:tc>
        <w:tc>
          <w:tcPr>
            <w:tcW w:w="3636" w:type="dxa"/>
          </w:tcPr>
          <w:p w14:paraId="1D690F9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451F6799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7DF991B5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4. DPPD dispune de servicii de consiliere în domeniul carierei didactice, care au o administra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 eficientă.</w:t>
            </w:r>
          </w:p>
        </w:tc>
        <w:tc>
          <w:tcPr>
            <w:tcW w:w="3636" w:type="dxa"/>
          </w:tcPr>
          <w:p w14:paraId="6A57CB4E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1C85B740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60D62083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C.6. BAZĂ DE DATE ACTUALIZATĂ SISTEMATIC, REFERITOARE LA ASIGURAREA INTERNĂ A CALITĂ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II</w:t>
            </w:r>
          </w:p>
        </w:tc>
        <w:tc>
          <w:tcPr>
            <w:tcW w:w="3636" w:type="dxa"/>
            <w:vAlign w:val="center"/>
          </w:tcPr>
          <w:p w14:paraId="11AA29D1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481303C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6A9F7C59" w14:textId="77777777" w:rsidTr="00F97D20">
        <w:tc>
          <w:tcPr>
            <w:tcW w:w="15860" w:type="dxa"/>
            <w:gridSpan w:val="3"/>
          </w:tcPr>
          <w:p w14:paraId="50D3DBAE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S.C.6.1.: Sisteme de informa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ii</w:t>
            </w:r>
          </w:p>
        </w:tc>
      </w:tr>
      <w:tr w:rsidR="00075971" w:rsidRPr="00367120" w14:paraId="6C1D10AA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</w:tcPr>
          <w:p w14:paraId="03724FE2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DPPD are un sistem informatic care facilitează colectarea, prelucrarea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analiza datelor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iilor relevante pentru evaluarea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asigurarea institu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ională 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ii.</w:t>
            </w:r>
          </w:p>
        </w:tc>
        <w:tc>
          <w:tcPr>
            <w:tcW w:w="3636" w:type="dxa"/>
          </w:tcPr>
          <w:p w14:paraId="536F33A5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06527B36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32152DCA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t>C.7. TRANSPAREN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A INFORMA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 xml:space="preserve">IILOR DE INTERES PUBLIC CU PRIVIRE LA PROGRAMELE DE STUDII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 xml:space="preserve">I, DUPĂ CAZ, CERTIFICATELE, DIPLOMELE </w:t>
            </w:r>
            <w:r w:rsidR="00EE1A1A">
              <w:rPr>
                <w:b/>
              </w:rPr>
              <w:t>Ș</w:t>
            </w:r>
            <w:r w:rsidRPr="00367120">
              <w:rPr>
                <w:b/>
              </w:rPr>
              <w:t>I CALIFICĂRILE OFERITE</w:t>
            </w:r>
          </w:p>
        </w:tc>
        <w:tc>
          <w:tcPr>
            <w:tcW w:w="3636" w:type="dxa"/>
            <w:vAlign w:val="center"/>
          </w:tcPr>
          <w:p w14:paraId="718A64BD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65479600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25917C14" w14:textId="77777777" w:rsidTr="00F97D20">
        <w:tc>
          <w:tcPr>
            <w:tcW w:w="15860" w:type="dxa"/>
            <w:gridSpan w:val="3"/>
          </w:tcPr>
          <w:p w14:paraId="254D67BD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S.C.7.1. : Informa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ie publică</w:t>
            </w:r>
          </w:p>
        </w:tc>
      </w:tr>
      <w:tr w:rsidR="00075971" w:rsidRPr="00367120" w14:paraId="77C686E2" w14:textId="77777777" w:rsidTr="00F97D20">
        <w:tc>
          <w:tcPr>
            <w:tcW w:w="12224" w:type="dxa"/>
            <w:gridSpan w:val="2"/>
            <w:tcBorders>
              <w:bottom w:val="single" w:sz="4" w:space="0" w:color="auto"/>
            </w:tcBorders>
            <w:vAlign w:val="center"/>
          </w:tcPr>
          <w:p w14:paraId="5951CA81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1. DPPD trebuie să ofere informa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ii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date, cantitative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i/sau calitative, actuale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corecte, despre programele de studiu, certificatele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atestatele eliberate, personalul didactic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de cercetare, facilită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oferite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ilor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despre orice aspecte de interes pentru public, în general,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pentru studen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i, în special.</w:t>
            </w:r>
          </w:p>
        </w:tc>
        <w:tc>
          <w:tcPr>
            <w:tcW w:w="3636" w:type="dxa"/>
          </w:tcPr>
          <w:p w14:paraId="31D29C64" w14:textId="77777777" w:rsidR="00075971" w:rsidRPr="00367120" w:rsidRDefault="00075971" w:rsidP="00F97D20">
            <w:pPr>
              <w:jc w:val="both"/>
            </w:pPr>
          </w:p>
        </w:tc>
      </w:tr>
      <w:tr w:rsidR="00075971" w:rsidRPr="00367120" w14:paraId="3A7F4AF1" w14:textId="77777777" w:rsidTr="00F97D20">
        <w:tc>
          <w:tcPr>
            <w:tcW w:w="12224" w:type="dxa"/>
            <w:gridSpan w:val="2"/>
            <w:shd w:val="clear" w:color="auto" w:fill="D9D9D9"/>
            <w:vAlign w:val="center"/>
          </w:tcPr>
          <w:p w14:paraId="16319526" w14:textId="77777777" w:rsidR="00075971" w:rsidRPr="00367120" w:rsidRDefault="00075971" w:rsidP="00F97D20">
            <w:pPr>
              <w:jc w:val="center"/>
              <w:rPr>
                <w:b/>
              </w:rPr>
            </w:pPr>
            <w:r w:rsidRPr="00367120">
              <w:rPr>
                <w:b/>
              </w:rPr>
              <w:lastRenderedPageBreak/>
              <w:t>C.8. FUNC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IONALITATEA STRUCTURILOR DE ASIGURARE A CALITĂ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II EDUCA</w:t>
            </w:r>
            <w:r w:rsidR="00EE1A1A">
              <w:rPr>
                <w:b/>
              </w:rPr>
              <w:t>Ț</w:t>
            </w:r>
            <w:r w:rsidRPr="00367120">
              <w:rPr>
                <w:b/>
              </w:rPr>
              <w:t>IEI, CONFORM LEGII</w:t>
            </w:r>
          </w:p>
        </w:tc>
        <w:tc>
          <w:tcPr>
            <w:tcW w:w="3636" w:type="dxa"/>
            <w:vAlign w:val="center"/>
          </w:tcPr>
          <w:p w14:paraId="07338ED3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CONSTATĂRI</w:t>
            </w:r>
          </w:p>
          <w:p w14:paraId="5FFAFB15" w14:textId="77777777" w:rsidR="00075971" w:rsidRPr="00367120" w:rsidRDefault="00075971" w:rsidP="00F97D20">
            <w:pPr>
              <w:jc w:val="center"/>
              <w:rPr>
                <w:b/>
                <w:sz w:val="20"/>
                <w:szCs w:val="20"/>
              </w:rPr>
            </w:pPr>
            <w:r w:rsidRPr="00367120">
              <w:rPr>
                <w:b/>
                <w:sz w:val="20"/>
                <w:szCs w:val="20"/>
              </w:rPr>
              <w:t>Corespunde/Nu corespunde / Nu e cazul</w:t>
            </w:r>
          </w:p>
        </w:tc>
      </w:tr>
      <w:tr w:rsidR="00075971" w:rsidRPr="00367120" w14:paraId="5D0BCF8B" w14:textId="77777777" w:rsidTr="00F97D20">
        <w:tc>
          <w:tcPr>
            <w:tcW w:w="15860" w:type="dxa"/>
            <w:gridSpan w:val="3"/>
          </w:tcPr>
          <w:p w14:paraId="406AD21F" w14:textId="77777777" w:rsidR="00075971" w:rsidRPr="00367120" w:rsidRDefault="00075971" w:rsidP="00F97D20">
            <w:pPr>
              <w:jc w:val="both"/>
              <w:rPr>
                <w:sz w:val="22"/>
                <w:szCs w:val="22"/>
              </w:rPr>
            </w:pPr>
            <w:r w:rsidRPr="00367120">
              <w:rPr>
                <w:b/>
                <w:sz w:val="22"/>
                <w:szCs w:val="22"/>
              </w:rPr>
              <w:t>Standard S.C.8.1. : Structura institu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ională de asigurare a calită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>ii educa</w:t>
            </w:r>
            <w:r w:rsidR="00EE1A1A">
              <w:rPr>
                <w:b/>
                <w:sz w:val="22"/>
                <w:szCs w:val="22"/>
              </w:rPr>
              <w:t>ț</w:t>
            </w:r>
            <w:r w:rsidRPr="00367120">
              <w:rPr>
                <w:b/>
                <w:sz w:val="22"/>
                <w:szCs w:val="22"/>
              </w:rPr>
              <w:t xml:space="preserve">iei este conformă prevederilor legale 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î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i desfă</w:t>
            </w:r>
            <w:r w:rsidR="00EE1A1A">
              <w:rPr>
                <w:b/>
                <w:sz w:val="22"/>
                <w:szCs w:val="22"/>
              </w:rPr>
              <w:t>ș</w:t>
            </w:r>
            <w:r w:rsidRPr="00367120">
              <w:rPr>
                <w:b/>
                <w:sz w:val="22"/>
                <w:szCs w:val="22"/>
              </w:rPr>
              <w:t>oară activitatea permanent</w:t>
            </w:r>
          </w:p>
        </w:tc>
      </w:tr>
      <w:tr w:rsidR="00075971" w:rsidRPr="00367120" w14:paraId="70956A8B" w14:textId="77777777" w:rsidTr="00F97D20">
        <w:tc>
          <w:tcPr>
            <w:tcW w:w="12224" w:type="dxa"/>
            <w:gridSpan w:val="2"/>
          </w:tcPr>
          <w:p w14:paraId="2925F0FF" w14:textId="77777777" w:rsidR="00075971" w:rsidRPr="00367120" w:rsidRDefault="00075971" w:rsidP="00F97D2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 xml:space="preserve">1. Procedurile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activită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ile de evaluare privind calitatea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 xml:space="preserve">iei au fost elaborate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i aprobate de Senatul universitar. Comisia DPPD elaborează raportul anual de evaluare internă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îl face public prin afi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 xml:space="preserve">are sau publicare, inclusiv în format electronic, </w:t>
            </w:r>
            <w:r w:rsidR="00EE1A1A">
              <w:rPr>
                <w:sz w:val="22"/>
                <w:szCs w:val="22"/>
              </w:rPr>
              <w:t>ș</w:t>
            </w:r>
            <w:r w:rsidRPr="00367120">
              <w:rPr>
                <w:sz w:val="22"/>
                <w:szCs w:val="22"/>
              </w:rPr>
              <w:t>i formulează propuneri de îmbunătă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ire a calită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ii educa</w:t>
            </w:r>
            <w:r w:rsidR="00EE1A1A">
              <w:rPr>
                <w:sz w:val="22"/>
                <w:szCs w:val="22"/>
              </w:rPr>
              <w:t>ț</w:t>
            </w:r>
            <w:r w:rsidRPr="00367120">
              <w:rPr>
                <w:sz w:val="22"/>
                <w:szCs w:val="22"/>
              </w:rPr>
              <w:t>iei.</w:t>
            </w:r>
          </w:p>
        </w:tc>
        <w:tc>
          <w:tcPr>
            <w:tcW w:w="3636" w:type="dxa"/>
          </w:tcPr>
          <w:p w14:paraId="2F9B36E3" w14:textId="77777777" w:rsidR="00075971" w:rsidRPr="00367120" w:rsidRDefault="00075971" w:rsidP="00F97D20">
            <w:pPr>
              <w:jc w:val="both"/>
            </w:pPr>
          </w:p>
        </w:tc>
      </w:tr>
    </w:tbl>
    <w:p w14:paraId="04EDD31B" w14:textId="77777777" w:rsidR="00075971" w:rsidRPr="0059520C" w:rsidRDefault="00075971" w:rsidP="00075971">
      <w:bookmarkStart w:id="0" w:name="_GoBack"/>
      <w:bookmarkEnd w:id="0"/>
      <w:r w:rsidRPr="0059520C">
        <w:t>Întocmit:</w:t>
      </w:r>
    </w:p>
    <w:p w14:paraId="32C870B3" w14:textId="77777777" w:rsidR="00075971" w:rsidRPr="0059520C" w:rsidRDefault="00075971" w:rsidP="00075971">
      <w:pPr>
        <w:jc w:val="both"/>
        <w:rPr>
          <w:b/>
          <w:sz w:val="22"/>
          <w:szCs w:val="22"/>
        </w:rPr>
      </w:pPr>
      <w:r w:rsidRPr="0059520C">
        <w:rPr>
          <w:b/>
        </w:rPr>
        <w:t>DATA:</w:t>
      </w:r>
      <w:r w:rsidRPr="0059520C">
        <w:rPr>
          <w:b/>
          <w:sz w:val="22"/>
          <w:szCs w:val="22"/>
        </w:rPr>
        <w:tab/>
      </w:r>
      <w:r w:rsidRPr="0059520C">
        <w:rPr>
          <w:b/>
          <w:sz w:val="22"/>
          <w:szCs w:val="22"/>
        </w:rPr>
        <w:tab/>
      </w:r>
      <w:r w:rsidRPr="0059520C">
        <w:rPr>
          <w:b/>
          <w:sz w:val="22"/>
          <w:szCs w:val="22"/>
        </w:rPr>
        <w:tab/>
      </w:r>
      <w:r w:rsidRPr="0059520C">
        <w:rPr>
          <w:b/>
          <w:sz w:val="22"/>
          <w:szCs w:val="22"/>
        </w:rPr>
        <w:tab/>
      </w:r>
      <w:r w:rsidR="00D764E6" w:rsidRPr="0059520C">
        <w:rPr>
          <w:b/>
        </w:rPr>
        <w:t>MEMBRII COMISIEI DE EVALUARE DIN FACULTATE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59520C" w14:paraId="160C1F97" w14:textId="77777777" w:rsidTr="00F97D20">
        <w:trPr>
          <w:trHeight w:val="276"/>
          <w:jc w:val="center"/>
        </w:trPr>
        <w:tc>
          <w:tcPr>
            <w:tcW w:w="1263" w:type="dxa"/>
          </w:tcPr>
          <w:p w14:paraId="4E985E37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46633FFE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 xml:space="preserve">Numele </w:t>
            </w:r>
            <w:r w:rsidR="00EE1A1A" w:rsidRPr="0059520C">
              <w:rPr>
                <w:sz w:val="22"/>
                <w:szCs w:val="22"/>
              </w:rPr>
              <w:t>ș</w:t>
            </w:r>
            <w:r w:rsidRPr="0059520C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689ACF35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Semnătura</w:t>
            </w:r>
          </w:p>
        </w:tc>
      </w:tr>
      <w:tr w:rsidR="00075971" w:rsidRPr="0059520C" w14:paraId="1532763C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6A249694" w14:textId="77777777" w:rsidR="00075971" w:rsidRPr="0059520C" w:rsidRDefault="00075971" w:rsidP="00F97D20">
            <w:pPr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18B1AAD9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2F3FCB4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59520C" w14:paraId="391FB18E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4BEEA48D" w14:textId="77777777" w:rsidR="00075971" w:rsidRPr="0059520C" w:rsidRDefault="00075971" w:rsidP="00F97D20">
            <w:pPr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1D2B9D60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D4131C9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59520C" w14:paraId="511C5E4F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0FEB5DA5" w14:textId="77777777" w:rsidR="00075971" w:rsidRPr="0059520C" w:rsidRDefault="00075971" w:rsidP="00F97D20">
            <w:pPr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53743A3D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CEB11F3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485ADE08" w14:textId="77777777" w:rsidR="00075971" w:rsidRPr="0059520C" w:rsidRDefault="00075971" w:rsidP="00075971">
      <w:pPr>
        <w:jc w:val="both"/>
      </w:pPr>
    </w:p>
    <w:p w14:paraId="6104B0DF" w14:textId="0E6E1630" w:rsidR="00075971" w:rsidRPr="0059520C" w:rsidRDefault="00075971" w:rsidP="00075971">
      <w:pPr>
        <w:jc w:val="both"/>
        <w:rPr>
          <w:sz w:val="18"/>
          <w:szCs w:val="18"/>
        </w:rPr>
      </w:pPr>
      <w:r w:rsidRPr="0059520C">
        <w:rPr>
          <w:b/>
        </w:rPr>
        <w:t>CONCLUZII:</w:t>
      </w:r>
    </w:p>
    <w:p w14:paraId="0C023E4C" w14:textId="3A2A8384" w:rsidR="00075971" w:rsidRPr="0059520C" w:rsidRDefault="00F34714" w:rsidP="00075971">
      <w:pPr>
        <w:jc w:val="both"/>
        <w:rPr>
          <w:b/>
        </w:rPr>
      </w:pPr>
      <w:r w:rsidRPr="0059520C">
        <w:rPr>
          <w:b/>
        </w:rPr>
        <w:t>DATA:</w:t>
      </w:r>
      <w:r w:rsidRPr="0059520C">
        <w:rPr>
          <w:b/>
        </w:rPr>
        <w:tab/>
      </w:r>
      <w:r w:rsidRPr="0059520C">
        <w:rPr>
          <w:b/>
        </w:rPr>
        <w:tab/>
      </w:r>
      <w:r w:rsidRPr="0059520C">
        <w:rPr>
          <w:b/>
        </w:rPr>
        <w:tab/>
      </w:r>
      <w:r w:rsidRPr="0059520C">
        <w:rPr>
          <w:b/>
        </w:rPr>
        <w:tab/>
      </w:r>
      <w:r w:rsidR="00075971" w:rsidRPr="0059520C">
        <w:rPr>
          <w:b/>
        </w:rPr>
        <w:t xml:space="preserve">MEMBRII COMISIEI CEAC-USV                                                      </w:t>
      </w: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678"/>
        <w:gridCol w:w="2693"/>
      </w:tblGrid>
      <w:tr w:rsidR="0059520C" w:rsidRPr="0059520C" w14:paraId="0CCF2B2C" w14:textId="77777777" w:rsidTr="00F34714">
        <w:trPr>
          <w:trHeight w:val="276"/>
        </w:trPr>
        <w:tc>
          <w:tcPr>
            <w:tcW w:w="1276" w:type="dxa"/>
          </w:tcPr>
          <w:p w14:paraId="4D1C9092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BE31C43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 xml:space="preserve">Numele </w:t>
            </w:r>
            <w:r w:rsidR="00EE1A1A" w:rsidRPr="0059520C">
              <w:rPr>
                <w:sz w:val="22"/>
                <w:szCs w:val="22"/>
              </w:rPr>
              <w:t>ș</w:t>
            </w:r>
            <w:r w:rsidRPr="0059520C">
              <w:rPr>
                <w:sz w:val="22"/>
                <w:szCs w:val="22"/>
              </w:rPr>
              <w:t>i prenumele</w:t>
            </w:r>
          </w:p>
        </w:tc>
        <w:tc>
          <w:tcPr>
            <w:tcW w:w="2693" w:type="dxa"/>
            <w:vAlign w:val="center"/>
          </w:tcPr>
          <w:p w14:paraId="32C00D68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Semnătura</w:t>
            </w:r>
          </w:p>
        </w:tc>
      </w:tr>
      <w:tr w:rsidR="0059520C" w:rsidRPr="0059520C" w14:paraId="1B89230F" w14:textId="77777777" w:rsidTr="00F34714">
        <w:trPr>
          <w:trHeight w:val="345"/>
        </w:trPr>
        <w:tc>
          <w:tcPr>
            <w:tcW w:w="1276" w:type="dxa"/>
            <w:vAlign w:val="center"/>
          </w:tcPr>
          <w:p w14:paraId="02B7E90A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  <w:r w:rsidRPr="0059520C">
              <w:rPr>
                <w:sz w:val="22"/>
                <w:szCs w:val="22"/>
              </w:rPr>
              <w:t>Evaluator 1</w:t>
            </w:r>
          </w:p>
        </w:tc>
        <w:tc>
          <w:tcPr>
            <w:tcW w:w="4678" w:type="dxa"/>
            <w:vAlign w:val="center"/>
          </w:tcPr>
          <w:p w14:paraId="6473E4FF" w14:textId="77777777" w:rsidR="00075971" w:rsidRPr="0059520C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D24E59A" w14:textId="77777777" w:rsidR="00075971" w:rsidRPr="0059520C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075971" w:rsidRPr="00367120" w14:paraId="561F0392" w14:textId="77777777" w:rsidTr="00F34714">
        <w:trPr>
          <w:trHeight w:val="354"/>
        </w:trPr>
        <w:tc>
          <w:tcPr>
            <w:tcW w:w="1276" w:type="dxa"/>
            <w:vAlign w:val="center"/>
          </w:tcPr>
          <w:p w14:paraId="7712AF51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Evaluator 2</w:t>
            </w:r>
          </w:p>
        </w:tc>
        <w:tc>
          <w:tcPr>
            <w:tcW w:w="4678" w:type="dxa"/>
            <w:vAlign w:val="center"/>
          </w:tcPr>
          <w:p w14:paraId="22DCB176" w14:textId="77777777" w:rsidR="00075971" w:rsidRPr="00367120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790B93D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075971" w:rsidRPr="00367120" w14:paraId="799D691F" w14:textId="77777777" w:rsidTr="00F34714">
        <w:trPr>
          <w:trHeight w:val="349"/>
        </w:trPr>
        <w:tc>
          <w:tcPr>
            <w:tcW w:w="1276" w:type="dxa"/>
            <w:vAlign w:val="center"/>
          </w:tcPr>
          <w:p w14:paraId="7ED8CA88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  <w:r w:rsidRPr="00367120">
              <w:rPr>
                <w:sz w:val="22"/>
                <w:szCs w:val="22"/>
              </w:rPr>
              <w:t>Evaluator 3</w:t>
            </w:r>
          </w:p>
        </w:tc>
        <w:tc>
          <w:tcPr>
            <w:tcW w:w="4678" w:type="dxa"/>
            <w:vAlign w:val="center"/>
          </w:tcPr>
          <w:p w14:paraId="5DDEC315" w14:textId="77777777" w:rsidR="00075971" w:rsidRPr="00367120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EEEA40" w14:textId="77777777" w:rsidR="00075971" w:rsidRPr="00367120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D6BC3B" w14:textId="77777777" w:rsidR="00075971" w:rsidRPr="00367120" w:rsidRDefault="00075971" w:rsidP="00075971">
      <w:pPr>
        <w:jc w:val="both"/>
      </w:pPr>
    </w:p>
    <w:p w14:paraId="16FFE18D" w14:textId="77777777" w:rsidR="00075971" w:rsidRPr="00367120" w:rsidRDefault="00075971" w:rsidP="00075971">
      <w:pPr>
        <w:jc w:val="both"/>
      </w:pPr>
    </w:p>
    <w:p w14:paraId="717CA7F3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i/>
          <w:sz w:val="40"/>
          <w:szCs w:val="40"/>
        </w:rPr>
        <w:t xml:space="preserve">□ </w:t>
      </w:r>
      <w:r w:rsidRPr="00367120">
        <w:rPr>
          <w:b/>
        </w:rPr>
        <w:t xml:space="preserve">Raportul de evaluare internă al programului de studii </w:t>
      </w:r>
      <w:r w:rsidRPr="00367120">
        <w:rPr>
          <w:b/>
          <w:bCs/>
        </w:rPr>
        <w:t>............................................................................</w:t>
      </w:r>
      <w:r w:rsidRPr="00367120">
        <w:rPr>
          <w:b/>
        </w:rPr>
        <w:t xml:space="preserve"> corespunde în totalitate standardelor ARACIS.  Comisia de evaluare internă recomandă înaintarea documenta</w:t>
      </w:r>
      <w:r w:rsidR="00EE1A1A">
        <w:rPr>
          <w:b/>
        </w:rPr>
        <w:t>ț</w:t>
      </w:r>
      <w:r w:rsidRPr="00367120">
        <w:rPr>
          <w:b/>
        </w:rPr>
        <w:t>iei spre aprobare Senatului universită</w:t>
      </w:r>
      <w:r w:rsidR="00EE1A1A">
        <w:rPr>
          <w:b/>
        </w:rPr>
        <w:t>ț</w:t>
      </w:r>
      <w:r w:rsidRPr="00367120">
        <w:rPr>
          <w:b/>
        </w:rPr>
        <w:t>ii.</w:t>
      </w:r>
    </w:p>
    <w:p w14:paraId="56440B4A" w14:textId="77777777" w:rsidR="00075971" w:rsidRPr="00367120" w:rsidRDefault="00075971" w:rsidP="00075971">
      <w:pPr>
        <w:jc w:val="both"/>
      </w:pPr>
    </w:p>
    <w:p w14:paraId="0B71F306" w14:textId="77777777" w:rsidR="00075971" w:rsidRPr="00367120" w:rsidRDefault="008836F7" w:rsidP="00075971">
      <w:pPr>
        <w:jc w:val="both"/>
      </w:pPr>
      <w:r w:rsidRPr="00367120">
        <w:rPr>
          <w:i/>
          <w:sz w:val="40"/>
          <w:szCs w:val="40"/>
        </w:rPr>
        <w:t>□</w:t>
      </w:r>
      <w:r w:rsidR="00075971" w:rsidRPr="00367120">
        <w:rPr>
          <w:b/>
        </w:rPr>
        <w:t xml:space="preserve"> Recomandăm analiza problemelor semnalate </w:t>
      </w:r>
      <w:r w:rsidR="00EE1A1A">
        <w:rPr>
          <w:b/>
        </w:rPr>
        <w:t>ș</w:t>
      </w:r>
      <w:r w:rsidR="00075971" w:rsidRPr="00367120">
        <w:rPr>
          <w:b/>
        </w:rPr>
        <w:t>i revizuirea par</w:t>
      </w:r>
      <w:r w:rsidR="00EE1A1A">
        <w:rPr>
          <w:b/>
        </w:rPr>
        <w:t>ț</w:t>
      </w:r>
      <w:r w:rsidR="00075971" w:rsidRPr="00367120">
        <w:rPr>
          <w:b/>
        </w:rPr>
        <w:t>ială a raportului de evaluare internă. Raportul revizuit va fi prezentat spre analiză pre</w:t>
      </w:r>
      <w:r w:rsidR="00EE1A1A">
        <w:rPr>
          <w:b/>
        </w:rPr>
        <w:t>ș</w:t>
      </w:r>
      <w:r w:rsidR="00075971" w:rsidRPr="00367120">
        <w:rPr>
          <w:b/>
        </w:rPr>
        <w:t>edintelui comisiei de evaluare (evaluatorului 1) pentru clarificarea tuturor aspectelor semnalate de membrii comisiei de evaluare.</w:t>
      </w:r>
    </w:p>
    <w:p w14:paraId="2D84D831" w14:textId="77777777" w:rsidR="00075971" w:rsidRPr="00367120" w:rsidRDefault="00075971" w:rsidP="00075971">
      <w:pPr>
        <w:jc w:val="both"/>
        <w:rPr>
          <w:b/>
        </w:rPr>
      </w:pPr>
    </w:p>
    <w:p w14:paraId="5C668D51" w14:textId="77777777" w:rsidR="00075971" w:rsidRPr="00367120" w:rsidRDefault="00075971" w:rsidP="00075971">
      <w:pPr>
        <w:jc w:val="both"/>
        <w:rPr>
          <w:b/>
          <w:i/>
          <w:sz w:val="20"/>
          <w:szCs w:val="20"/>
        </w:rPr>
      </w:pPr>
      <w:r w:rsidRPr="00367120">
        <w:rPr>
          <w:b/>
          <w:i/>
          <w:sz w:val="20"/>
          <w:szCs w:val="20"/>
        </w:rPr>
        <w:t>Notă:    Dacă evaluatorii au puncte de vedere diferite, le vor prezenta separat în prezentul raport, prin adăugarea de noi pagini, sub semnătură.</w:t>
      </w:r>
    </w:p>
    <w:p w14:paraId="65483B22" w14:textId="77777777" w:rsidR="00075971" w:rsidRPr="00367120" w:rsidRDefault="00075971" w:rsidP="00075971">
      <w:pPr>
        <w:jc w:val="both"/>
        <w:rPr>
          <w:b/>
          <w:i/>
          <w:sz w:val="20"/>
          <w:szCs w:val="20"/>
        </w:rPr>
      </w:pPr>
      <w:r w:rsidRPr="00367120">
        <w:rPr>
          <w:b/>
          <w:i/>
          <w:sz w:val="20"/>
          <w:szCs w:val="20"/>
        </w:rPr>
        <w:t xml:space="preserve">             Evaluatorul 1 va semna toate paginile raportului comun.</w:t>
      </w:r>
    </w:p>
    <w:p w14:paraId="1F1177F9" w14:textId="77777777" w:rsidR="00075971" w:rsidRPr="00367120" w:rsidRDefault="00075971" w:rsidP="00075971">
      <w:pPr>
        <w:rPr>
          <w:b/>
          <w:i/>
          <w:sz w:val="20"/>
          <w:szCs w:val="20"/>
        </w:rPr>
      </w:pPr>
      <w:r w:rsidRPr="00367120">
        <w:rPr>
          <w:b/>
          <w:i/>
          <w:sz w:val="20"/>
          <w:szCs w:val="20"/>
        </w:rPr>
        <w:t xml:space="preserve">             Pentru fiecare program de studii se va verifica îndeplinirea standardele specifice ale Comisiilor de Exper</w:t>
      </w:r>
      <w:r w:rsidR="00EE1A1A">
        <w:rPr>
          <w:b/>
          <w:i/>
          <w:sz w:val="20"/>
          <w:szCs w:val="20"/>
        </w:rPr>
        <w:t>ț</w:t>
      </w:r>
      <w:r w:rsidRPr="00367120">
        <w:rPr>
          <w:b/>
          <w:i/>
          <w:sz w:val="20"/>
          <w:szCs w:val="20"/>
        </w:rPr>
        <w:t>i Permanen</w:t>
      </w:r>
      <w:r w:rsidR="00EE1A1A">
        <w:rPr>
          <w:b/>
          <w:i/>
          <w:sz w:val="20"/>
          <w:szCs w:val="20"/>
        </w:rPr>
        <w:t>ț</w:t>
      </w:r>
      <w:r w:rsidRPr="00367120">
        <w:rPr>
          <w:b/>
          <w:i/>
          <w:sz w:val="20"/>
          <w:szCs w:val="20"/>
        </w:rPr>
        <w:t>i ARACIS.</w:t>
      </w:r>
    </w:p>
    <w:p w14:paraId="6F3F61F5" w14:textId="39137D8C" w:rsidR="009B444F" w:rsidRDefault="009B444F" w:rsidP="00075971">
      <w:pPr>
        <w:jc w:val="both"/>
        <w:sectPr w:rsidR="009B444F" w:rsidSect="00E161F9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 w:code="9"/>
          <w:pgMar w:top="567" w:right="567" w:bottom="680" w:left="601" w:header="0" w:footer="0" w:gutter="0"/>
          <w:cols w:space="720"/>
          <w:titlePg/>
          <w:docGrid w:linePitch="360"/>
        </w:sectPr>
      </w:pPr>
    </w:p>
    <w:p w14:paraId="1C3370A3" w14:textId="70F48280" w:rsidR="009B444F" w:rsidRDefault="009B444F" w:rsidP="00075971">
      <w:pPr>
        <w:jc w:val="both"/>
      </w:pPr>
    </w:p>
    <w:sectPr w:rsidR="009B444F" w:rsidSect="009B444F">
      <w:pgSz w:w="16838" w:h="11906" w:orient="landscape" w:code="9"/>
      <w:pgMar w:top="567" w:right="567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98341" w14:textId="77777777" w:rsidR="000B482F" w:rsidRDefault="000B482F" w:rsidP="00075971">
      <w:r>
        <w:separator/>
      </w:r>
    </w:p>
  </w:endnote>
  <w:endnote w:type="continuationSeparator" w:id="0">
    <w:p w14:paraId="755D1CCE" w14:textId="77777777" w:rsidR="000B482F" w:rsidRDefault="000B482F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620A8F1B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58C87" w14:textId="77777777" w:rsidR="000B482F" w:rsidRDefault="000B482F" w:rsidP="00075971">
      <w:r>
        <w:separator/>
      </w:r>
    </w:p>
  </w:footnote>
  <w:footnote w:type="continuationSeparator" w:id="0">
    <w:p w14:paraId="4ACFDDB4" w14:textId="77777777" w:rsidR="000B482F" w:rsidRDefault="000B482F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B482F"/>
    <w:rsid w:val="000C0BDC"/>
    <w:rsid w:val="000D1332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66C69"/>
    <w:rsid w:val="0029741D"/>
    <w:rsid w:val="002D4D91"/>
    <w:rsid w:val="002D6A57"/>
    <w:rsid w:val="00300F79"/>
    <w:rsid w:val="003563A1"/>
    <w:rsid w:val="00361F59"/>
    <w:rsid w:val="00374C1C"/>
    <w:rsid w:val="003763CF"/>
    <w:rsid w:val="00383D2C"/>
    <w:rsid w:val="003A26DB"/>
    <w:rsid w:val="003A573B"/>
    <w:rsid w:val="003C2A6C"/>
    <w:rsid w:val="00404F66"/>
    <w:rsid w:val="00407F9A"/>
    <w:rsid w:val="00414E98"/>
    <w:rsid w:val="00416AEB"/>
    <w:rsid w:val="00447D31"/>
    <w:rsid w:val="00463518"/>
    <w:rsid w:val="00465D53"/>
    <w:rsid w:val="00465E18"/>
    <w:rsid w:val="004B6BEB"/>
    <w:rsid w:val="004C1A4A"/>
    <w:rsid w:val="004E04BD"/>
    <w:rsid w:val="005221F1"/>
    <w:rsid w:val="00527626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A4494"/>
    <w:rsid w:val="009B444F"/>
    <w:rsid w:val="009B5E01"/>
    <w:rsid w:val="009F1CCA"/>
    <w:rsid w:val="00A71E8B"/>
    <w:rsid w:val="00A77125"/>
    <w:rsid w:val="00A84121"/>
    <w:rsid w:val="00AA2A1F"/>
    <w:rsid w:val="00AB7467"/>
    <w:rsid w:val="00AD5E0B"/>
    <w:rsid w:val="00AD7DC5"/>
    <w:rsid w:val="00AE11D2"/>
    <w:rsid w:val="00AE19E9"/>
    <w:rsid w:val="00B0059C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D104C"/>
    <w:rsid w:val="00BF3FB4"/>
    <w:rsid w:val="00C11475"/>
    <w:rsid w:val="00C246C6"/>
    <w:rsid w:val="00C30F3E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10A2E"/>
    <w:rsid w:val="00E161F9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7D20"/>
    <w:rsid w:val="00FA33A8"/>
    <w:rsid w:val="00FA5245"/>
    <w:rsid w:val="00FD401E"/>
    <w:rsid w:val="00FD6F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36D3-44CE-429D-945F-D83B50FC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10</Pages>
  <Words>4410</Words>
  <Characters>27525</Characters>
  <Application>Microsoft Office Word</Application>
  <DocSecurity>0</DocSecurity>
  <Lines>500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151</cp:revision>
  <cp:lastPrinted>2025-11-12T09:48:00Z</cp:lastPrinted>
  <dcterms:created xsi:type="dcterms:W3CDTF">2025-11-09T07:53:00Z</dcterms:created>
  <dcterms:modified xsi:type="dcterms:W3CDTF">2025-11-21T07:11:00Z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