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7BE17" w14:textId="77777777" w:rsidR="00354CCF" w:rsidRPr="00454AD4" w:rsidRDefault="00354CCF" w:rsidP="00454AD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 w:eastAsia="uk-UA"/>
        </w:rPr>
      </w:pPr>
    </w:p>
    <w:p w14:paraId="7C444C92" w14:textId="77777777" w:rsidR="00386C1A" w:rsidRPr="00386C1A" w:rsidRDefault="00386C1A" w:rsidP="00354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 w:eastAsia="uk-UA"/>
        </w:rPr>
      </w:pPr>
      <w:r>
        <w:rPr>
          <w:rFonts w:ascii="Times New Roman" w:hAnsi="Times New Roman"/>
          <w:b/>
          <w:sz w:val="28"/>
          <w:szCs w:val="28"/>
          <w:lang w:val="ro-RO" w:eastAsia="uk-UA"/>
        </w:rPr>
        <w:t xml:space="preserve">Propunerile </w:t>
      </w:r>
    </w:p>
    <w:p w14:paraId="633A8389" w14:textId="77777777" w:rsidR="00354CCF" w:rsidRPr="00386C1A" w:rsidRDefault="00386C1A" w:rsidP="00D13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 w:eastAsia="uk-UA"/>
        </w:rPr>
      </w:pPr>
      <w:r>
        <w:rPr>
          <w:rFonts w:ascii="Times New Roman" w:hAnsi="Times New Roman"/>
          <w:b/>
          <w:sz w:val="28"/>
          <w:szCs w:val="28"/>
          <w:lang w:val="ro-RO" w:eastAsia="uk-UA"/>
        </w:rPr>
        <w:t xml:space="preserve">participanților la Masa rotundă </w:t>
      </w:r>
      <w:r w:rsidR="00D13594" w:rsidRPr="00D13594">
        <w:rPr>
          <w:rFonts w:ascii="Times New Roman" w:hAnsi="Times New Roman"/>
          <w:b/>
          <w:i/>
          <w:sz w:val="28"/>
          <w:szCs w:val="28"/>
          <w:lang w:val="ro-RO" w:eastAsia="uk-UA"/>
        </w:rPr>
        <w:t>Amplificarea rolului Euroregiunii „Prutul de Sus” în fenomenul de convergență a teritoriilor frontaliere</w:t>
      </w:r>
    </w:p>
    <w:p w14:paraId="56D4FA68" w14:textId="7FCFDABF" w:rsidR="00354CCF" w:rsidRPr="009731E5" w:rsidRDefault="009731E5" w:rsidP="009731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 w:eastAsia="uk-UA"/>
        </w:rPr>
      </w:pPr>
      <w:r>
        <w:rPr>
          <w:rFonts w:ascii="Times New Roman" w:hAnsi="Times New Roman"/>
          <w:b/>
          <w:sz w:val="28"/>
          <w:szCs w:val="28"/>
          <w:lang w:val="ro-RO" w:eastAsia="uk-UA"/>
        </w:rPr>
        <w:t>Suceava, 19 aprilie 2019</w:t>
      </w:r>
      <w:bookmarkStart w:id="0" w:name="_GoBack"/>
      <w:bookmarkEnd w:id="0"/>
    </w:p>
    <w:p w14:paraId="4397473D" w14:textId="77777777" w:rsidR="00354CCF" w:rsidRDefault="00354CCF" w:rsidP="00354CCF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14:paraId="1D94D8BD" w14:textId="316C282A" w:rsidR="003207B8" w:rsidRPr="003207B8" w:rsidRDefault="003207B8" w:rsidP="0011445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o-RO" w:eastAsia="uk-UA"/>
        </w:rPr>
      </w:pPr>
      <w:r>
        <w:rPr>
          <w:rFonts w:ascii="Times New Roman" w:hAnsi="Times New Roman"/>
          <w:sz w:val="28"/>
          <w:szCs w:val="28"/>
          <w:lang w:val="ro-RO" w:eastAsia="uk-UA"/>
        </w:rPr>
        <w:t xml:space="preserve">1. </w:t>
      </w:r>
      <w:r w:rsidR="0011445F">
        <w:rPr>
          <w:rFonts w:ascii="Times New Roman" w:hAnsi="Times New Roman"/>
          <w:sz w:val="28"/>
          <w:szCs w:val="28"/>
          <w:lang w:val="ro-RO" w:eastAsia="uk-UA"/>
        </w:rPr>
        <w:t>Având în vedere</w:t>
      </w:r>
      <w:r>
        <w:rPr>
          <w:rFonts w:ascii="Times New Roman" w:hAnsi="Times New Roman"/>
          <w:sz w:val="28"/>
          <w:szCs w:val="28"/>
          <w:lang w:val="ro-RO" w:eastAsia="uk-UA"/>
        </w:rPr>
        <w:t xml:space="preserve"> prioritățil</w:t>
      </w:r>
      <w:r w:rsidR="0011445F">
        <w:rPr>
          <w:rFonts w:ascii="Times New Roman" w:hAnsi="Times New Roman"/>
          <w:sz w:val="28"/>
          <w:szCs w:val="28"/>
          <w:lang w:val="ro-RO" w:eastAsia="uk-UA"/>
        </w:rPr>
        <w:t>e</w:t>
      </w:r>
      <w:r>
        <w:rPr>
          <w:rFonts w:ascii="Times New Roman" w:hAnsi="Times New Roman"/>
          <w:sz w:val="28"/>
          <w:szCs w:val="28"/>
          <w:lang w:val="ro-RO" w:eastAsia="uk-UA"/>
        </w:rPr>
        <w:t xml:space="preserve"> </w:t>
      </w:r>
      <w:r w:rsidR="0011445F">
        <w:rPr>
          <w:rFonts w:ascii="Times New Roman" w:hAnsi="Times New Roman"/>
          <w:sz w:val="28"/>
          <w:szCs w:val="28"/>
          <w:lang w:val="ro-RO" w:eastAsia="uk-UA"/>
        </w:rPr>
        <w:t xml:space="preserve">de </w:t>
      </w:r>
      <w:r w:rsidR="0066003B">
        <w:rPr>
          <w:rFonts w:ascii="Times New Roman" w:hAnsi="Times New Roman"/>
          <w:sz w:val="28"/>
          <w:szCs w:val="28"/>
          <w:lang w:val="ro-RO" w:eastAsia="uk-UA"/>
        </w:rPr>
        <w:t>dezvoltare</w:t>
      </w:r>
      <w:r w:rsidR="0011445F">
        <w:rPr>
          <w:rFonts w:ascii="Times New Roman" w:hAnsi="Times New Roman"/>
          <w:sz w:val="28"/>
          <w:szCs w:val="28"/>
          <w:lang w:val="ro-RO" w:eastAsia="uk-UA"/>
        </w:rPr>
        <w:t xml:space="preserve"> </w:t>
      </w:r>
      <w:r w:rsidR="0066003B">
        <w:rPr>
          <w:rFonts w:ascii="Times New Roman" w:hAnsi="Times New Roman"/>
          <w:sz w:val="28"/>
          <w:szCs w:val="28"/>
          <w:lang w:val="ro-RO" w:eastAsia="uk-UA"/>
        </w:rPr>
        <w:t>a Euroregiunii „Prutul de Sus”</w:t>
      </w:r>
      <w:r w:rsidR="009A04D6">
        <w:rPr>
          <w:rFonts w:ascii="Times New Roman" w:hAnsi="Times New Roman"/>
          <w:sz w:val="28"/>
          <w:szCs w:val="28"/>
          <w:lang w:val="ro-RO" w:eastAsia="uk-UA"/>
        </w:rPr>
        <w:t>,</w:t>
      </w:r>
      <w:r w:rsidR="0066003B">
        <w:rPr>
          <w:rFonts w:ascii="Times New Roman" w:hAnsi="Times New Roman"/>
          <w:sz w:val="28"/>
          <w:szCs w:val="28"/>
          <w:lang w:val="ro-RO" w:eastAsia="uk-UA"/>
        </w:rPr>
        <w:t xml:space="preserve"> recomandăm elaborarea Strategiei de funcționare a euroregiunii până în anul 2025.</w:t>
      </w:r>
    </w:p>
    <w:p w14:paraId="724B7B83" w14:textId="77777777" w:rsidR="00354CCF" w:rsidRDefault="00354CCF" w:rsidP="00354CCF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eastAsia="uk-UA"/>
        </w:rPr>
      </w:pPr>
    </w:p>
    <w:p w14:paraId="54CE3AEA" w14:textId="0D6597EF" w:rsidR="00C852A3" w:rsidRDefault="0066003B" w:rsidP="00354CCF">
      <w:pPr>
        <w:pStyle w:val="xfmc2"/>
        <w:shd w:val="clear" w:color="auto" w:fill="FFFFFF"/>
        <w:spacing w:before="0" w:beforeAutospacing="0" w:after="0" w:afterAutospacing="0" w:line="169" w:lineRule="atLeast"/>
        <w:ind w:left="720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 xml:space="preserve">2. </w:t>
      </w:r>
      <w:r w:rsidR="00C852A3">
        <w:rPr>
          <w:color w:val="000000"/>
          <w:sz w:val="28"/>
          <w:szCs w:val="28"/>
          <w:lang w:val="ro-RO"/>
        </w:rPr>
        <w:t xml:space="preserve">Susținem ideea constituirii unei </w:t>
      </w:r>
      <w:r w:rsidR="00C852A3" w:rsidRPr="00C852A3">
        <w:rPr>
          <w:color w:val="000000"/>
          <w:sz w:val="28"/>
          <w:szCs w:val="28"/>
          <w:lang w:val="ro-RO"/>
        </w:rPr>
        <w:t>Funda</w:t>
      </w:r>
      <w:r w:rsidR="00C852A3">
        <w:rPr>
          <w:color w:val="000000"/>
          <w:sz w:val="28"/>
          <w:szCs w:val="28"/>
          <w:lang w:val="ro-RO"/>
        </w:rPr>
        <w:t>ții</w:t>
      </w:r>
      <w:r w:rsidR="00C852A3" w:rsidRPr="00C852A3">
        <w:rPr>
          <w:color w:val="000000"/>
          <w:sz w:val="28"/>
          <w:szCs w:val="28"/>
          <w:lang w:val="ro-RO"/>
        </w:rPr>
        <w:t xml:space="preserve"> / Asocia</w:t>
      </w:r>
      <w:r w:rsidR="00C852A3">
        <w:rPr>
          <w:color w:val="000000"/>
          <w:sz w:val="28"/>
          <w:szCs w:val="28"/>
          <w:lang w:val="ro-RO"/>
        </w:rPr>
        <w:t>ții</w:t>
      </w:r>
      <w:r w:rsidR="00C852A3" w:rsidRPr="00C852A3">
        <w:rPr>
          <w:color w:val="000000"/>
          <w:sz w:val="28"/>
          <w:szCs w:val="28"/>
          <w:lang w:val="ro-RO"/>
        </w:rPr>
        <w:t xml:space="preserve"> (cu personalitate juridic</w:t>
      </w:r>
      <w:r w:rsidR="00C852A3">
        <w:rPr>
          <w:color w:val="000000"/>
          <w:sz w:val="28"/>
          <w:szCs w:val="28"/>
          <w:lang w:val="ro-RO"/>
        </w:rPr>
        <w:t>ă</w:t>
      </w:r>
      <w:r w:rsidR="00C852A3" w:rsidRPr="00C852A3">
        <w:rPr>
          <w:color w:val="000000"/>
          <w:sz w:val="28"/>
          <w:szCs w:val="28"/>
          <w:lang w:val="ro-RO"/>
        </w:rPr>
        <w:t>)</w:t>
      </w:r>
      <w:r w:rsidR="00FA375D">
        <w:rPr>
          <w:color w:val="000000"/>
          <w:sz w:val="28"/>
          <w:szCs w:val="28"/>
          <w:lang w:val="ro-RO"/>
        </w:rPr>
        <w:t xml:space="preserve"> a Euroregiunii</w:t>
      </w:r>
      <w:r w:rsidR="00C852A3" w:rsidRPr="00C852A3">
        <w:rPr>
          <w:color w:val="000000"/>
          <w:sz w:val="28"/>
          <w:szCs w:val="28"/>
          <w:lang w:val="ro-RO"/>
        </w:rPr>
        <w:t>,</w:t>
      </w:r>
      <w:r w:rsidR="00FA375D">
        <w:rPr>
          <w:color w:val="000000"/>
          <w:sz w:val="28"/>
          <w:szCs w:val="28"/>
          <w:lang w:val="ro-RO"/>
        </w:rPr>
        <w:t xml:space="preserve"> al cărei obiectiv fundamental să fie identificarea și atragerea finanțărilor pentru derularea proiectelor orientate spre satisfacerea nevoilor locuitorilor regiunii transfrontaliere.</w:t>
      </w:r>
      <w:r w:rsidR="00C852A3" w:rsidRPr="00C852A3">
        <w:rPr>
          <w:color w:val="000000"/>
          <w:sz w:val="28"/>
          <w:szCs w:val="28"/>
          <w:lang w:val="ro-RO"/>
        </w:rPr>
        <w:t xml:space="preserve"> </w:t>
      </w:r>
      <w:r w:rsidR="00FA375D">
        <w:rPr>
          <w:color w:val="000000"/>
          <w:sz w:val="28"/>
          <w:szCs w:val="28"/>
          <w:lang w:val="ro-RO"/>
        </w:rPr>
        <w:t>M</w:t>
      </w:r>
      <w:r w:rsidR="00C852A3" w:rsidRPr="00C852A3">
        <w:rPr>
          <w:color w:val="000000"/>
          <w:sz w:val="28"/>
          <w:szCs w:val="28"/>
          <w:lang w:val="ro-RO"/>
        </w:rPr>
        <w:t xml:space="preserve">embri fondatori </w:t>
      </w:r>
      <w:r w:rsidR="00FA375D">
        <w:rPr>
          <w:color w:val="000000"/>
          <w:sz w:val="28"/>
          <w:szCs w:val="28"/>
          <w:lang w:val="ro-RO"/>
        </w:rPr>
        <w:t xml:space="preserve">ar putea </w:t>
      </w:r>
      <w:r w:rsidR="00C852A3" w:rsidRPr="00C852A3">
        <w:rPr>
          <w:color w:val="000000"/>
          <w:sz w:val="28"/>
          <w:szCs w:val="28"/>
          <w:lang w:val="ro-RO"/>
        </w:rPr>
        <w:t>fi consiliile jude</w:t>
      </w:r>
      <w:r w:rsidR="00C852A3">
        <w:rPr>
          <w:color w:val="000000"/>
          <w:sz w:val="28"/>
          <w:szCs w:val="28"/>
          <w:lang w:val="ro-RO"/>
        </w:rPr>
        <w:t>ț</w:t>
      </w:r>
      <w:r w:rsidR="00C852A3" w:rsidRPr="00C852A3">
        <w:rPr>
          <w:color w:val="000000"/>
          <w:sz w:val="28"/>
          <w:szCs w:val="28"/>
          <w:lang w:val="ro-RO"/>
        </w:rPr>
        <w:t>ene, consiliile regionale sau raionale, municipiile, universitățile</w:t>
      </w:r>
      <w:r w:rsidR="00C852A3">
        <w:rPr>
          <w:color w:val="000000"/>
          <w:sz w:val="28"/>
          <w:szCs w:val="28"/>
          <w:lang w:val="ro-RO"/>
        </w:rPr>
        <w:t xml:space="preserve"> etc. </w:t>
      </w:r>
      <w:r w:rsidR="00C852A3" w:rsidRPr="00C852A3">
        <w:rPr>
          <w:color w:val="000000"/>
          <w:sz w:val="28"/>
          <w:szCs w:val="28"/>
          <w:lang w:val="ro-RO"/>
        </w:rPr>
        <w:t xml:space="preserve">Finanțarea acestei structuri se va asigura din contribuțiile membrilor fondatori, iar ulterior din fondurile atrase </w:t>
      </w:r>
      <w:r w:rsidR="00C852A3">
        <w:rPr>
          <w:color w:val="000000"/>
          <w:sz w:val="28"/>
          <w:szCs w:val="28"/>
          <w:lang w:val="ro-RO"/>
        </w:rPr>
        <w:t>ș</w:t>
      </w:r>
      <w:r w:rsidR="00C852A3" w:rsidRPr="00C852A3">
        <w:rPr>
          <w:color w:val="000000"/>
          <w:sz w:val="28"/>
          <w:szCs w:val="28"/>
          <w:lang w:val="ro-RO"/>
        </w:rPr>
        <w:t>i din proiectele derulate</w:t>
      </w:r>
      <w:r w:rsidR="00C852A3">
        <w:rPr>
          <w:color w:val="000000"/>
          <w:sz w:val="28"/>
          <w:szCs w:val="28"/>
          <w:lang w:val="ro-RO"/>
        </w:rPr>
        <w:t>.</w:t>
      </w:r>
    </w:p>
    <w:p w14:paraId="0D8266DF" w14:textId="5EB13195" w:rsidR="00F90BA0" w:rsidRDefault="00F90BA0" w:rsidP="00354CCF">
      <w:pPr>
        <w:pStyle w:val="xfmc2"/>
        <w:shd w:val="clear" w:color="auto" w:fill="FFFFFF"/>
        <w:spacing w:before="0" w:beforeAutospacing="0" w:after="0" w:afterAutospacing="0" w:line="169" w:lineRule="atLeast"/>
        <w:ind w:left="720"/>
        <w:jc w:val="both"/>
        <w:rPr>
          <w:color w:val="000000"/>
          <w:sz w:val="28"/>
          <w:szCs w:val="28"/>
          <w:lang w:val="ro-RO"/>
        </w:rPr>
      </w:pPr>
    </w:p>
    <w:p w14:paraId="4EC8004A" w14:textId="4CB684B7" w:rsidR="00F90BA0" w:rsidRPr="009731E5" w:rsidRDefault="00F90BA0" w:rsidP="00354CCF">
      <w:pPr>
        <w:pStyle w:val="xfmc2"/>
        <w:shd w:val="clear" w:color="auto" w:fill="FFFFFF"/>
        <w:spacing w:before="0" w:beforeAutospacing="0" w:after="0" w:afterAutospacing="0" w:line="169" w:lineRule="atLeast"/>
        <w:ind w:left="720"/>
        <w:jc w:val="both"/>
        <w:rPr>
          <w:sz w:val="28"/>
          <w:szCs w:val="28"/>
          <w:lang w:val="ro-RO"/>
        </w:rPr>
      </w:pPr>
      <w:r w:rsidRPr="00BF07F0">
        <w:rPr>
          <w:sz w:val="28"/>
          <w:szCs w:val="28"/>
          <w:lang w:val="ro-RO"/>
        </w:rPr>
        <w:t xml:space="preserve">3. </w:t>
      </w:r>
      <w:r w:rsidRPr="009731E5">
        <w:rPr>
          <w:sz w:val="28"/>
          <w:szCs w:val="28"/>
          <w:lang w:val="ro-RO"/>
        </w:rPr>
        <w:t xml:space="preserve">Recomandăm crearea și menținerea unui site al Euroregiunii „Prutul de Sus”, </w:t>
      </w:r>
      <w:r w:rsidR="00A711AB" w:rsidRPr="009731E5">
        <w:rPr>
          <w:sz w:val="28"/>
          <w:szCs w:val="28"/>
          <w:lang w:val="ro-RO"/>
        </w:rPr>
        <w:t xml:space="preserve">gestionat de </w:t>
      </w:r>
      <w:r w:rsidRPr="009731E5">
        <w:rPr>
          <w:sz w:val="28"/>
          <w:szCs w:val="28"/>
          <w:lang w:val="ro-RO"/>
        </w:rPr>
        <w:t>Fundați</w:t>
      </w:r>
      <w:r w:rsidR="00A711AB" w:rsidRPr="009731E5">
        <w:rPr>
          <w:sz w:val="28"/>
          <w:szCs w:val="28"/>
          <w:lang w:val="ro-RO"/>
        </w:rPr>
        <w:t>a</w:t>
      </w:r>
      <w:r w:rsidRPr="009731E5">
        <w:rPr>
          <w:sz w:val="28"/>
          <w:szCs w:val="28"/>
          <w:lang w:val="ro-RO"/>
        </w:rPr>
        <w:t>/Asociați</w:t>
      </w:r>
      <w:r w:rsidR="00A711AB" w:rsidRPr="009731E5">
        <w:rPr>
          <w:sz w:val="28"/>
          <w:szCs w:val="28"/>
          <w:lang w:val="ro-RO"/>
        </w:rPr>
        <w:t>a</w:t>
      </w:r>
      <w:r w:rsidRPr="009731E5">
        <w:rPr>
          <w:sz w:val="28"/>
          <w:szCs w:val="28"/>
          <w:lang w:val="ro-RO"/>
        </w:rPr>
        <w:t xml:space="preserve"> </w:t>
      </w:r>
      <w:r w:rsidR="00A711AB" w:rsidRPr="009731E5">
        <w:rPr>
          <w:sz w:val="28"/>
          <w:szCs w:val="28"/>
          <w:lang w:val="ro-RO"/>
        </w:rPr>
        <w:t>Euroregiunii</w:t>
      </w:r>
      <w:r w:rsidRPr="009731E5">
        <w:rPr>
          <w:sz w:val="28"/>
          <w:szCs w:val="28"/>
          <w:lang w:val="ro-RO"/>
        </w:rPr>
        <w:t>.</w:t>
      </w:r>
    </w:p>
    <w:p w14:paraId="06B6F343" w14:textId="77777777" w:rsidR="00C852A3" w:rsidRPr="009731E5" w:rsidRDefault="00C852A3" w:rsidP="00354CCF">
      <w:pPr>
        <w:pStyle w:val="xfmc2"/>
        <w:shd w:val="clear" w:color="auto" w:fill="FFFFFF"/>
        <w:spacing w:before="0" w:beforeAutospacing="0" w:after="0" w:afterAutospacing="0" w:line="169" w:lineRule="atLeast"/>
        <w:ind w:left="720"/>
        <w:jc w:val="both"/>
        <w:rPr>
          <w:sz w:val="28"/>
          <w:szCs w:val="28"/>
          <w:lang w:val="ro-RO"/>
        </w:rPr>
      </w:pPr>
    </w:p>
    <w:p w14:paraId="5AC67809" w14:textId="283E3447" w:rsidR="00BF07F0" w:rsidRPr="009731E5" w:rsidRDefault="006C7C77" w:rsidP="00BF07F0">
      <w:pPr>
        <w:pStyle w:val="xfmc2"/>
        <w:shd w:val="clear" w:color="auto" w:fill="FFFFFF"/>
        <w:spacing w:before="0" w:beforeAutospacing="0" w:after="0" w:afterAutospacing="0" w:line="169" w:lineRule="atLeast"/>
        <w:ind w:left="720"/>
        <w:jc w:val="both"/>
        <w:rPr>
          <w:sz w:val="28"/>
          <w:szCs w:val="28"/>
          <w:lang w:val="ro-RO"/>
        </w:rPr>
      </w:pPr>
      <w:r w:rsidRPr="009731E5">
        <w:rPr>
          <w:sz w:val="28"/>
          <w:szCs w:val="28"/>
          <w:lang w:val="ro-RO"/>
        </w:rPr>
        <w:t>4</w:t>
      </w:r>
      <w:r w:rsidR="00291165" w:rsidRPr="009731E5">
        <w:rPr>
          <w:sz w:val="28"/>
          <w:szCs w:val="28"/>
          <w:lang w:val="ro-RO"/>
        </w:rPr>
        <w:t xml:space="preserve">. </w:t>
      </w:r>
      <w:r w:rsidR="00BF07F0" w:rsidRPr="009731E5">
        <w:rPr>
          <w:sz w:val="28"/>
          <w:szCs w:val="28"/>
          <w:lang w:val="ro-RO"/>
        </w:rPr>
        <w:t xml:space="preserve">Recomandăm realizarea unor studii referitoare la identificarea de domenii în care pot </w:t>
      </w:r>
      <w:r w:rsidR="00750DFE" w:rsidRPr="009731E5">
        <w:rPr>
          <w:sz w:val="28"/>
          <w:szCs w:val="28"/>
          <w:lang w:val="ro-RO"/>
        </w:rPr>
        <w:t xml:space="preserve">fi </w:t>
      </w:r>
      <w:r w:rsidR="00BF07F0" w:rsidRPr="009731E5">
        <w:rPr>
          <w:sz w:val="28"/>
          <w:szCs w:val="28"/>
          <w:lang w:val="ro-RO"/>
        </w:rPr>
        <w:t>crea</w:t>
      </w:r>
      <w:r w:rsidR="00750DFE" w:rsidRPr="009731E5">
        <w:rPr>
          <w:sz w:val="28"/>
          <w:szCs w:val="28"/>
          <w:lang w:val="ro-RO"/>
        </w:rPr>
        <w:t>te</w:t>
      </w:r>
      <w:r w:rsidR="00BF07F0" w:rsidRPr="009731E5">
        <w:rPr>
          <w:sz w:val="28"/>
          <w:szCs w:val="28"/>
          <w:lang w:val="ro-RO"/>
        </w:rPr>
        <w:t xml:space="preserve"> clustere</w:t>
      </w:r>
      <w:r w:rsidR="00BF07F0" w:rsidRPr="009731E5">
        <w:rPr>
          <w:sz w:val="28"/>
          <w:szCs w:val="28"/>
          <w:lang w:val="ro-RO"/>
        </w:rPr>
        <w:t xml:space="preserve"> </w:t>
      </w:r>
      <w:r w:rsidR="00BF07F0" w:rsidRPr="009731E5">
        <w:rPr>
          <w:sz w:val="28"/>
          <w:szCs w:val="28"/>
          <w:lang w:val="ro-RO"/>
        </w:rPr>
        <w:t>(de exemplu, în domeniul turismului, serviciilor etc.) și/sau la posibilitatea extinderii c</w:t>
      </w:r>
      <w:r w:rsidR="00943E04" w:rsidRPr="009731E5">
        <w:rPr>
          <w:sz w:val="28"/>
          <w:szCs w:val="28"/>
          <w:lang w:val="ro-RO"/>
        </w:rPr>
        <w:t>luster</w:t>
      </w:r>
      <w:r w:rsidR="00BF07F0" w:rsidRPr="009731E5">
        <w:rPr>
          <w:sz w:val="28"/>
          <w:szCs w:val="28"/>
          <w:lang w:val="ro-RO"/>
        </w:rPr>
        <w:t xml:space="preserve">elor existente pe teritoriul Euroregiunii. </w:t>
      </w:r>
    </w:p>
    <w:p w14:paraId="62BCEA56" w14:textId="77777777" w:rsidR="00BF07F0" w:rsidRPr="009731E5" w:rsidRDefault="00BF07F0" w:rsidP="00354CCF">
      <w:pPr>
        <w:pStyle w:val="xfmc3"/>
        <w:shd w:val="clear" w:color="auto" w:fill="FFFFFF"/>
        <w:spacing w:before="0" w:beforeAutospacing="0" w:after="0" w:afterAutospacing="0" w:line="169" w:lineRule="atLeast"/>
        <w:ind w:left="720"/>
        <w:jc w:val="both"/>
        <w:rPr>
          <w:sz w:val="28"/>
          <w:szCs w:val="28"/>
          <w:lang w:val="ro-RO"/>
        </w:rPr>
      </w:pPr>
    </w:p>
    <w:p w14:paraId="72FD412D" w14:textId="7E2E3708" w:rsidR="009B1DD0" w:rsidRDefault="00C852A3" w:rsidP="00354CCF">
      <w:pPr>
        <w:pStyle w:val="xfmc4"/>
        <w:shd w:val="clear" w:color="auto" w:fill="FFFFFF"/>
        <w:spacing w:before="0" w:beforeAutospacing="0" w:after="160" w:afterAutospacing="0" w:line="169" w:lineRule="atLeast"/>
        <w:ind w:left="720"/>
        <w:jc w:val="both"/>
        <w:rPr>
          <w:sz w:val="28"/>
          <w:szCs w:val="28"/>
          <w:lang w:val="ro-RO"/>
        </w:rPr>
      </w:pPr>
      <w:r w:rsidRPr="009731E5">
        <w:rPr>
          <w:sz w:val="28"/>
          <w:szCs w:val="28"/>
          <w:lang w:val="ro-RO"/>
        </w:rPr>
        <w:t>5</w:t>
      </w:r>
      <w:r w:rsidR="009B1DD0" w:rsidRPr="009731E5">
        <w:rPr>
          <w:sz w:val="28"/>
          <w:szCs w:val="28"/>
          <w:lang w:val="ro-RO"/>
        </w:rPr>
        <w:t xml:space="preserve">. </w:t>
      </w:r>
      <w:r w:rsidR="007F0EA8" w:rsidRPr="009731E5">
        <w:rPr>
          <w:sz w:val="28"/>
          <w:szCs w:val="28"/>
          <w:lang w:val="ro-RO"/>
        </w:rPr>
        <w:t xml:space="preserve">Recomandăm instituțiilor de învățământ din Euroregiunea „Prutul de Sus” să efectueze analiza potențialului patrimoniului natural și cultural </w:t>
      </w:r>
      <w:r w:rsidR="0051564C" w:rsidRPr="009731E5">
        <w:rPr>
          <w:sz w:val="28"/>
          <w:szCs w:val="28"/>
          <w:lang w:val="ro-RO"/>
        </w:rPr>
        <w:t xml:space="preserve">și să elaboreze mecanisme de popularizare a turismului recreativ în regiunea de frontieră </w:t>
      </w:r>
      <w:r w:rsidR="0051564C">
        <w:rPr>
          <w:sz w:val="28"/>
          <w:szCs w:val="28"/>
          <w:lang w:val="ro-RO"/>
        </w:rPr>
        <w:t>româno-</w:t>
      </w:r>
      <w:proofErr w:type="spellStart"/>
      <w:r w:rsidR="0051564C">
        <w:rPr>
          <w:sz w:val="28"/>
          <w:szCs w:val="28"/>
          <w:lang w:val="ro-RO"/>
        </w:rPr>
        <w:t>moldo</w:t>
      </w:r>
      <w:proofErr w:type="spellEnd"/>
      <w:r w:rsidR="0051564C">
        <w:rPr>
          <w:sz w:val="28"/>
          <w:szCs w:val="28"/>
          <w:lang w:val="ro-RO"/>
        </w:rPr>
        <w:t xml:space="preserve">-ucraineană; să întocmească un repertoriu al monumentelor culturale și religioase, investigându-se gradul lor de conservare și posibilitățile de valorizare în scop turistic. </w:t>
      </w:r>
    </w:p>
    <w:p w14:paraId="4E02238B" w14:textId="5B20C54E" w:rsidR="0034659F" w:rsidRPr="009B1DD0" w:rsidRDefault="0034659F" w:rsidP="00354CCF">
      <w:pPr>
        <w:pStyle w:val="xfmc4"/>
        <w:shd w:val="clear" w:color="auto" w:fill="FFFFFF"/>
        <w:spacing w:before="0" w:beforeAutospacing="0" w:after="160" w:afterAutospacing="0" w:line="169" w:lineRule="atLeast"/>
        <w:ind w:left="720"/>
        <w:jc w:val="both"/>
        <w:rPr>
          <w:color w:val="000000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6. Propunem conducerilor universităților de pe teritoriul Euroregiunii să dezvolte un Centru de </w:t>
      </w:r>
      <w:r>
        <w:rPr>
          <w:color w:val="000000"/>
          <w:sz w:val="28"/>
          <w:szCs w:val="28"/>
          <w:lang w:val="ro-RO"/>
        </w:rPr>
        <w:t>cercetare transfrontalieră</w:t>
      </w:r>
      <w:r>
        <w:rPr>
          <w:color w:val="000000"/>
          <w:sz w:val="28"/>
          <w:szCs w:val="28"/>
          <w:lang w:val="ro-RO"/>
        </w:rPr>
        <w:t>, în vederea promovării cunoașterii</w:t>
      </w:r>
      <w:r w:rsidR="002E4F0F">
        <w:rPr>
          <w:color w:val="000000"/>
          <w:sz w:val="28"/>
          <w:szCs w:val="28"/>
          <w:lang w:val="ro-RO"/>
        </w:rPr>
        <w:t>, elaborării unor strategii de dezvoltare</w:t>
      </w:r>
      <w:r>
        <w:rPr>
          <w:color w:val="000000"/>
          <w:sz w:val="28"/>
          <w:szCs w:val="28"/>
          <w:lang w:val="ro-RO"/>
        </w:rPr>
        <w:t xml:space="preserve"> și realizării unor </w:t>
      </w:r>
      <w:r w:rsidR="002E4F0F">
        <w:rPr>
          <w:color w:val="000000"/>
          <w:sz w:val="28"/>
          <w:szCs w:val="28"/>
          <w:lang w:val="ro-RO"/>
        </w:rPr>
        <w:t>proiecte</w:t>
      </w:r>
      <w:r w:rsidR="00F90BA0">
        <w:rPr>
          <w:color w:val="000000"/>
          <w:sz w:val="28"/>
          <w:szCs w:val="28"/>
          <w:lang w:val="ro-RO"/>
        </w:rPr>
        <w:t xml:space="preserve"> centrate pe nevoile Euroregiunii și ale comunităților locale.</w:t>
      </w:r>
    </w:p>
    <w:p w14:paraId="78BA504F" w14:textId="4B991AAA" w:rsidR="0019658B" w:rsidRPr="0019658B" w:rsidRDefault="00F90BA0" w:rsidP="00354CCF">
      <w:pPr>
        <w:pStyle w:val="xfmc4"/>
        <w:shd w:val="clear" w:color="auto" w:fill="FFFFFF"/>
        <w:spacing w:before="0" w:beforeAutospacing="0" w:after="160" w:afterAutospacing="0" w:line="169" w:lineRule="atLeast"/>
        <w:ind w:left="720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7</w:t>
      </w:r>
      <w:r w:rsidR="0019658B">
        <w:rPr>
          <w:color w:val="000000"/>
          <w:sz w:val="28"/>
          <w:szCs w:val="28"/>
          <w:lang w:val="ro-RO"/>
        </w:rPr>
        <w:t xml:space="preserve">. Susținem organizarea și desfășurarea de către Camera de Comerț și Industrie în marile orașe ale regiunii a unui târg anual de produse realizate de întreprinderile din cadrul </w:t>
      </w:r>
      <w:r w:rsidR="0019658B">
        <w:rPr>
          <w:sz w:val="28"/>
          <w:szCs w:val="28"/>
          <w:lang w:val="ro-RO"/>
        </w:rPr>
        <w:t>Euroregiunii „Prutul de Sus”.</w:t>
      </w:r>
    </w:p>
    <w:p w14:paraId="30D43A2C" w14:textId="61832C7F" w:rsidR="00354CCF" w:rsidRPr="009731E5" w:rsidRDefault="00F90BA0" w:rsidP="009731E5">
      <w:pPr>
        <w:pStyle w:val="xfmc4"/>
        <w:shd w:val="clear" w:color="auto" w:fill="FFFFFF"/>
        <w:spacing w:before="0" w:beforeAutospacing="0" w:after="160" w:afterAutospacing="0" w:line="169" w:lineRule="atLeast"/>
        <w:ind w:left="720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8</w:t>
      </w:r>
      <w:r w:rsidR="00454AD4">
        <w:rPr>
          <w:color w:val="000000"/>
          <w:sz w:val="28"/>
          <w:szCs w:val="28"/>
          <w:lang w:val="ro-RO"/>
        </w:rPr>
        <w:t xml:space="preserve">. </w:t>
      </w:r>
      <w:r w:rsidR="00B45F3F">
        <w:rPr>
          <w:color w:val="000000"/>
          <w:sz w:val="28"/>
          <w:szCs w:val="28"/>
          <w:lang w:val="ro-RO"/>
        </w:rPr>
        <w:t xml:space="preserve">Încurajăm </w:t>
      </w:r>
      <w:r w:rsidR="00FC367D">
        <w:rPr>
          <w:color w:val="000000"/>
          <w:sz w:val="28"/>
          <w:szCs w:val="28"/>
          <w:lang w:val="ro-RO"/>
        </w:rPr>
        <w:t xml:space="preserve">organizarea unor târguri turistice comune dedicate sezonului de vară, respectiv, iarnă prin atragerea unor operatori și agenții de turism din afara </w:t>
      </w:r>
      <w:r w:rsidR="00FC367D">
        <w:rPr>
          <w:sz w:val="28"/>
          <w:szCs w:val="28"/>
          <w:lang w:val="ro-RO"/>
        </w:rPr>
        <w:t>Euroregiunii „Prutul de Sus”.</w:t>
      </w:r>
    </w:p>
    <w:sectPr w:rsidR="00354CCF" w:rsidRPr="009731E5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FE61A" w14:textId="77777777" w:rsidR="00031A43" w:rsidRDefault="00031A43" w:rsidP="00EB27F9">
      <w:pPr>
        <w:spacing w:after="0" w:line="240" w:lineRule="auto"/>
      </w:pPr>
      <w:r>
        <w:separator/>
      </w:r>
    </w:p>
  </w:endnote>
  <w:endnote w:type="continuationSeparator" w:id="0">
    <w:p w14:paraId="6430D625" w14:textId="77777777" w:rsidR="00031A43" w:rsidRDefault="00031A43" w:rsidP="00EB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7E45A" w14:textId="77777777" w:rsidR="00031A43" w:rsidRDefault="00031A43" w:rsidP="00EB27F9">
      <w:pPr>
        <w:spacing w:after="0" w:line="240" w:lineRule="auto"/>
      </w:pPr>
      <w:r>
        <w:separator/>
      </w:r>
    </w:p>
  </w:footnote>
  <w:footnote w:type="continuationSeparator" w:id="0">
    <w:p w14:paraId="6B69E714" w14:textId="77777777" w:rsidR="00031A43" w:rsidRDefault="00031A43" w:rsidP="00EB2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36864" w14:textId="77777777" w:rsidR="00EB27F9" w:rsidRDefault="00031A43">
    <w:pPr>
      <w:pStyle w:val="Antet"/>
    </w:pPr>
    <w:r>
      <w:pict w14:anchorId="4D62F9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76548" o:spid="_x0000_s2049" type="#_x0000_t136" alt="" style="position:absolute;margin-left:0;margin-top:0;width:424.65pt;height:254.8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96D3F"/>
    <w:multiLevelType w:val="hybridMultilevel"/>
    <w:tmpl w:val="90185A9C"/>
    <w:lvl w:ilvl="0" w:tplc="9730A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FCFC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44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AC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CE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E6B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BCD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E6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286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9DD5F7D"/>
    <w:multiLevelType w:val="hybridMultilevel"/>
    <w:tmpl w:val="1EECBBC0"/>
    <w:lvl w:ilvl="0" w:tplc="35542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4D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820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2A5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EF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428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60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F4B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2E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B3F6BAC"/>
    <w:multiLevelType w:val="hybridMultilevel"/>
    <w:tmpl w:val="E444C030"/>
    <w:lvl w:ilvl="0" w:tplc="A61E6A62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9E407986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83ACBF5C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C0CA7DE2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A44C9720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45206216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70A4E708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9B78EA1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C2780E1C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CCF"/>
    <w:rsid w:val="00031A43"/>
    <w:rsid w:val="00072BC8"/>
    <w:rsid w:val="0011445F"/>
    <w:rsid w:val="0019658B"/>
    <w:rsid w:val="0019725A"/>
    <w:rsid w:val="00291165"/>
    <w:rsid w:val="002E4F0F"/>
    <w:rsid w:val="003207B8"/>
    <w:rsid w:val="00330B55"/>
    <w:rsid w:val="0034659F"/>
    <w:rsid w:val="00354CCF"/>
    <w:rsid w:val="00383E20"/>
    <w:rsid w:val="00386C1A"/>
    <w:rsid w:val="003C568B"/>
    <w:rsid w:val="003E5A0B"/>
    <w:rsid w:val="004046D9"/>
    <w:rsid w:val="00407181"/>
    <w:rsid w:val="00454AD4"/>
    <w:rsid w:val="004D5A7A"/>
    <w:rsid w:val="004F12C9"/>
    <w:rsid w:val="004F6A76"/>
    <w:rsid w:val="00504C63"/>
    <w:rsid w:val="0051564C"/>
    <w:rsid w:val="00521744"/>
    <w:rsid w:val="005921F5"/>
    <w:rsid w:val="005D4CF9"/>
    <w:rsid w:val="0065323B"/>
    <w:rsid w:val="0066003B"/>
    <w:rsid w:val="006C7C77"/>
    <w:rsid w:val="007021C3"/>
    <w:rsid w:val="00735C40"/>
    <w:rsid w:val="00736071"/>
    <w:rsid w:val="00750DFE"/>
    <w:rsid w:val="0076105C"/>
    <w:rsid w:val="007F0EA8"/>
    <w:rsid w:val="00907EC2"/>
    <w:rsid w:val="00943E04"/>
    <w:rsid w:val="00955B84"/>
    <w:rsid w:val="009731E5"/>
    <w:rsid w:val="009A04D6"/>
    <w:rsid w:val="009B1DD0"/>
    <w:rsid w:val="00A711AB"/>
    <w:rsid w:val="00A866FF"/>
    <w:rsid w:val="00AA44AA"/>
    <w:rsid w:val="00B45F3F"/>
    <w:rsid w:val="00B52459"/>
    <w:rsid w:val="00B61A7D"/>
    <w:rsid w:val="00B96874"/>
    <w:rsid w:val="00BF07F0"/>
    <w:rsid w:val="00C852A3"/>
    <w:rsid w:val="00D13594"/>
    <w:rsid w:val="00D15957"/>
    <w:rsid w:val="00D93E5C"/>
    <w:rsid w:val="00E44BD4"/>
    <w:rsid w:val="00EB27F9"/>
    <w:rsid w:val="00F21843"/>
    <w:rsid w:val="00F90BA0"/>
    <w:rsid w:val="00FA375D"/>
    <w:rsid w:val="00FC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77E95C74"/>
  <w15:chartTrackingRefBased/>
  <w15:docId w15:val="{1C8BBF09-CA68-45AD-8AFA-AB0EF1A1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4CCF"/>
    <w:pPr>
      <w:spacing w:after="200" w:line="27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xfmc2">
    <w:name w:val="xfmc2"/>
    <w:basedOn w:val="Normal"/>
    <w:rsid w:val="00354C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xfmc3">
    <w:name w:val="xfmc3"/>
    <w:basedOn w:val="Normal"/>
    <w:rsid w:val="00354C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xfmc4">
    <w:name w:val="xfmc4"/>
    <w:basedOn w:val="Normal"/>
    <w:rsid w:val="00354C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ntet">
    <w:name w:val="header"/>
    <w:basedOn w:val="Normal"/>
    <w:link w:val="AntetCaracter"/>
    <w:rsid w:val="00EB27F9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link w:val="Antet"/>
    <w:rsid w:val="00EB27F9"/>
    <w:rPr>
      <w:rFonts w:ascii="Calibri" w:hAnsi="Calibri"/>
      <w:sz w:val="22"/>
      <w:szCs w:val="22"/>
      <w:lang w:val="uk-UA" w:eastAsia="en-US"/>
    </w:rPr>
  </w:style>
  <w:style w:type="paragraph" w:styleId="Subsol">
    <w:name w:val="footer"/>
    <w:basedOn w:val="Normal"/>
    <w:link w:val="SubsolCaracter"/>
    <w:rsid w:val="00EB27F9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link w:val="Subsol"/>
    <w:rsid w:val="00EB27F9"/>
    <w:rPr>
      <w:rFonts w:ascii="Calibri" w:hAnsi="Calibri"/>
      <w:sz w:val="22"/>
      <w:szCs w:val="22"/>
      <w:lang w:val="uk-UA" w:eastAsia="en-US"/>
    </w:rPr>
  </w:style>
  <w:style w:type="paragraph" w:styleId="Listparagraf">
    <w:name w:val="List Paragraph"/>
    <w:basedOn w:val="Normal"/>
    <w:uiPriority w:val="34"/>
    <w:qFormat/>
    <w:rsid w:val="0040718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o-RO"/>
    </w:rPr>
  </w:style>
  <w:style w:type="paragraph" w:styleId="TextnBalon">
    <w:name w:val="Balloon Text"/>
    <w:basedOn w:val="Normal"/>
    <w:link w:val="TextnBalonCaracter"/>
    <w:rsid w:val="00346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34659F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5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6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4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4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4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9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7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E4709-0760-4218-BF6F-0A2F5291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2021</Characters>
  <Application>Microsoft Office Word</Application>
  <DocSecurity>0</DocSecurity>
  <Lines>16</Lines>
  <Paragraphs>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Пропозиції</vt:lpstr>
      <vt:lpstr>Пропозиції</vt:lpstr>
      <vt:lpstr>Пропозиції</vt:lpstr>
    </vt:vector>
  </TitlesOfParts>
  <Company>chtei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Пропозиції</dc:title>
  <dc:subject/>
  <dc:creator>Principle-14 zamdir. chtei</dc:creator>
  <cp:keywords/>
  <cp:lastModifiedBy>Stefan Purici</cp:lastModifiedBy>
  <cp:revision>3</cp:revision>
  <dcterms:created xsi:type="dcterms:W3CDTF">2019-05-08T12:27:00Z</dcterms:created>
  <dcterms:modified xsi:type="dcterms:W3CDTF">2019-05-08T12:28:00Z</dcterms:modified>
</cp:coreProperties>
</file>